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52" w:rsidRPr="00D0462C" w:rsidRDefault="003F6252" w:rsidP="003F6252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44639" w:rsidRPr="00D0462C" w:rsidRDefault="00544639" w:rsidP="00544639">
      <w:pPr>
        <w:jc w:val="both"/>
        <w:rPr>
          <w:rFonts w:ascii="Arial" w:hAnsi="Arial" w:cs="Arial"/>
          <w:sz w:val="22"/>
          <w:szCs w:val="22"/>
        </w:rPr>
      </w:pPr>
    </w:p>
    <w:p w:rsidR="00A67FDB" w:rsidRDefault="00A67FDB" w:rsidP="00D9276E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D9276E" w:rsidRPr="00D0462C" w:rsidRDefault="00D9276E" w:rsidP="00D9276E">
      <w:pPr>
        <w:jc w:val="both"/>
        <w:rPr>
          <w:rFonts w:ascii="Arial" w:eastAsia="Arial Unicode MS" w:hAnsi="Arial" w:cs="Arial"/>
          <w:sz w:val="22"/>
          <w:szCs w:val="22"/>
        </w:rPr>
      </w:pPr>
      <w:r w:rsidRPr="00D0462C">
        <w:rPr>
          <w:rFonts w:ascii="Arial" w:eastAsia="Arial Unicode MS" w:hAnsi="Arial" w:cs="Arial"/>
          <w:sz w:val="22"/>
          <w:szCs w:val="22"/>
        </w:rPr>
        <w:t>Máster</w:t>
      </w:r>
    </w:p>
    <w:p w:rsidR="00D9276E" w:rsidRPr="00D0462C" w:rsidRDefault="00D9276E" w:rsidP="00D9276E">
      <w:pPr>
        <w:jc w:val="both"/>
        <w:rPr>
          <w:rFonts w:ascii="Arial" w:eastAsia="Arial Unicode MS" w:hAnsi="Arial" w:cs="Arial"/>
          <w:sz w:val="22"/>
          <w:szCs w:val="22"/>
        </w:rPr>
      </w:pPr>
      <w:r w:rsidRPr="00D0462C">
        <w:rPr>
          <w:rFonts w:ascii="Arial" w:eastAsia="Arial Unicode MS" w:hAnsi="Arial" w:cs="Arial"/>
          <w:sz w:val="22"/>
          <w:szCs w:val="22"/>
        </w:rPr>
        <w:t>Carlos Arias Poveda, Superintendente</w:t>
      </w:r>
    </w:p>
    <w:p w:rsidR="00D9276E" w:rsidRPr="00D0462C" w:rsidRDefault="00D9276E" w:rsidP="00D9276E">
      <w:pPr>
        <w:jc w:val="both"/>
        <w:rPr>
          <w:rFonts w:ascii="Arial" w:eastAsia="Arial Unicode MS" w:hAnsi="Arial" w:cs="Arial"/>
          <w:b/>
          <w:sz w:val="22"/>
          <w:szCs w:val="22"/>
        </w:rPr>
      </w:pPr>
      <w:r w:rsidRPr="00D0462C">
        <w:rPr>
          <w:rFonts w:ascii="Arial" w:eastAsia="Arial Unicode MS" w:hAnsi="Arial" w:cs="Arial"/>
          <w:b/>
          <w:sz w:val="22"/>
          <w:szCs w:val="22"/>
        </w:rPr>
        <w:t>Superintendencia General de Valores</w:t>
      </w:r>
    </w:p>
    <w:p w:rsidR="00D9276E" w:rsidRPr="00D0462C" w:rsidRDefault="00D9276E" w:rsidP="00D9276E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D9276E" w:rsidRPr="00D0462C" w:rsidRDefault="00D9276E" w:rsidP="00D9276E">
      <w:pPr>
        <w:jc w:val="both"/>
        <w:rPr>
          <w:rFonts w:ascii="Arial" w:eastAsia="Arial Unicode MS" w:hAnsi="Arial" w:cs="Arial"/>
          <w:sz w:val="22"/>
          <w:szCs w:val="22"/>
        </w:rPr>
      </w:pPr>
      <w:r w:rsidRPr="00D0462C">
        <w:rPr>
          <w:rFonts w:ascii="Arial" w:eastAsia="Arial Unicode MS" w:hAnsi="Arial" w:cs="Arial"/>
          <w:sz w:val="22"/>
          <w:szCs w:val="22"/>
        </w:rPr>
        <w:t>Estimado señor:</w:t>
      </w:r>
    </w:p>
    <w:p w:rsidR="00D9276E" w:rsidRPr="00D0462C" w:rsidRDefault="00D9276E" w:rsidP="00D9276E">
      <w:pPr>
        <w:jc w:val="both"/>
        <w:rPr>
          <w:rFonts w:ascii="Arial" w:hAnsi="Arial" w:cs="Arial"/>
          <w:sz w:val="22"/>
          <w:szCs w:val="22"/>
        </w:rPr>
      </w:pPr>
    </w:p>
    <w:p w:rsidR="00D9276E" w:rsidRPr="00D0462C" w:rsidRDefault="00D9276E" w:rsidP="00D9276E">
      <w:pPr>
        <w:ind w:right="335"/>
        <w:jc w:val="both"/>
        <w:rPr>
          <w:rFonts w:ascii="Arial" w:hAnsi="Arial" w:cs="Arial"/>
          <w:sz w:val="22"/>
          <w:szCs w:val="22"/>
        </w:rPr>
      </w:pPr>
      <w:r w:rsidRPr="00D0462C">
        <w:rPr>
          <w:rFonts w:ascii="Arial" w:hAnsi="Arial" w:cs="Arial"/>
          <w:sz w:val="22"/>
          <w:szCs w:val="22"/>
        </w:rPr>
        <w:t>De conformidad con las obligaciones de información que señala la “</w:t>
      </w:r>
      <w:r w:rsidRPr="00D0462C">
        <w:rPr>
          <w:rFonts w:ascii="Arial" w:hAnsi="Arial" w:cs="Arial"/>
          <w:b/>
          <w:sz w:val="22"/>
          <w:szCs w:val="22"/>
        </w:rPr>
        <w:t>Ley Reguladora del Mercado de Valores</w:t>
      </w:r>
      <w:r w:rsidRPr="00D0462C">
        <w:rPr>
          <w:rFonts w:ascii="Arial" w:hAnsi="Arial" w:cs="Arial"/>
          <w:sz w:val="22"/>
          <w:szCs w:val="22"/>
        </w:rPr>
        <w:t>”, el “</w:t>
      </w:r>
      <w:r w:rsidRPr="00D0462C">
        <w:rPr>
          <w:rFonts w:ascii="Arial" w:hAnsi="Arial" w:cs="Arial"/>
          <w:b/>
          <w:sz w:val="22"/>
          <w:szCs w:val="22"/>
        </w:rPr>
        <w:t>Reglamento sobre el Suministro de Información Periódica, Hechos Relevantes y Otras Obligaciones de Información</w:t>
      </w:r>
      <w:r w:rsidRPr="00D0462C">
        <w:rPr>
          <w:rFonts w:ascii="Arial" w:hAnsi="Arial" w:cs="Arial"/>
          <w:sz w:val="22"/>
          <w:szCs w:val="22"/>
        </w:rPr>
        <w:t>” y el Acuerdo SGV-A-61 “</w:t>
      </w:r>
      <w:r w:rsidRPr="00D0462C">
        <w:rPr>
          <w:rFonts w:ascii="Arial" w:hAnsi="Arial" w:cs="Arial"/>
          <w:b/>
          <w:sz w:val="22"/>
          <w:szCs w:val="22"/>
        </w:rPr>
        <w:t>Acuerdo sobre hechos Relevantes</w:t>
      </w:r>
      <w:r w:rsidRPr="00D0462C">
        <w:rPr>
          <w:rFonts w:ascii="Arial" w:hAnsi="Arial" w:cs="Arial"/>
          <w:sz w:val="22"/>
          <w:szCs w:val="22"/>
        </w:rPr>
        <w:t>” y sus posteriores reformas, presento el siguiente:</w:t>
      </w:r>
    </w:p>
    <w:p w:rsidR="00D9276E" w:rsidRPr="00D0462C" w:rsidRDefault="00D9276E" w:rsidP="00D9276E">
      <w:pPr>
        <w:ind w:right="335"/>
        <w:jc w:val="both"/>
        <w:rPr>
          <w:rFonts w:ascii="Arial" w:hAnsi="Arial" w:cs="Arial"/>
          <w:sz w:val="22"/>
          <w:szCs w:val="22"/>
        </w:rPr>
      </w:pPr>
    </w:p>
    <w:p w:rsidR="00D9276E" w:rsidRPr="00D0462C" w:rsidRDefault="00D9276E" w:rsidP="00D9276E">
      <w:pPr>
        <w:ind w:right="335"/>
        <w:jc w:val="both"/>
        <w:rPr>
          <w:rFonts w:ascii="Arial" w:hAnsi="Arial" w:cs="Arial"/>
          <w:sz w:val="22"/>
          <w:szCs w:val="22"/>
        </w:rPr>
      </w:pPr>
    </w:p>
    <w:p w:rsidR="00D9276E" w:rsidRPr="00D0462C" w:rsidRDefault="00D9276E" w:rsidP="00D9276E">
      <w:pPr>
        <w:ind w:right="335"/>
        <w:jc w:val="center"/>
        <w:rPr>
          <w:rFonts w:ascii="Arial" w:hAnsi="Arial" w:cs="Arial"/>
          <w:sz w:val="22"/>
          <w:szCs w:val="22"/>
        </w:rPr>
      </w:pPr>
      <w:r w:rsidRPr="00D0462C">
        <w:rPr>
          <w:rFonts w:ascii="Arial" w:hAnsi="Arial" w:cs="Arial"/>
          <w:b/>
          <w:sz w:val="22"/>
          <w:szCs w:val="22"/>
        </w:rPr>
        <w:t>COMUNICADO DE HECHOS RELEVANTES</w:t>
      </w:r>
    </w:p>
    <w:p w:rsidR="00D9276E" w:rsidRPr="00D0462C" w:rsidRDefault="00D9276E" w:rsidP="00D9276E">
      <w:pPr>
        <w:ind w:right="335"/>
        <w:jc w:val="both"/>
        <w:rPr>
          <w:rFonts w:ascii="Arial" w:hAnsi="Arial" w:cs="Arial"/>
          <w:sz w:val="22"/>
          <w:szCs w:val="22"/>
        </w:rPr>
      </w:pPr>
    </w:p>
    <w:p w:rsidR="00D9276E" w:rsidRPr="00D0462C" w:rsidRDefault="00D9276E" w:rsidP="00D9276E">
      <w:pPr>
        <w:ind w:right="707"/>
        <w:jc w:val="both"/>
        <w:rPr>
          <w:rFonts w:ascii="Arial" w:hAnsi="Arial" w:cs="Arial"/>
          <w:b/>
          <w:sz w:val="22"/>
          <w:szCs w:val="22"/>
        </w:rPr>
      </w:pPr>
      <w:r w:rsidRPr="00D0462C">
        <w:rPr>
          <w:rFonts w:ascii="Arial" w:hAnsi="Arial" w:cs="Arial"/>
          <w:b/>
          <w:sz w:val="22"/>
          <w:szCs w:val="22"/>
        </w:rPr>
        <w:t>ASUNTO: 1.34 Otros hechos relevantes aplicables a emisiones de deuda y/o acciones no contempladas en esta lista.</w:t>
      </w:r>
    </w:p>
    <w:p w:rsidR="00D9276E" w:rsidRPr="00D0462C" w:rsidRDefault="00D9276E" w:rsidP="00D9276E">
      <w:pPr>
        <w:tabs>
          <w:tab w:val="left" w:pos="567"/>
        </w:tabs>
        <w:ind w:left="709" w:right="707"/>
        <w:jc w:val="center"/>
        <w:rPr>
          <w:rFonts w:ascii="Arial" w:hAnsi="Arial" w:cs="Arial"/>
          <w:b/>
          <w:sz w:val="22"/>
          <w:szCs w:val="22"/>
        </w:rPr>
      </w:pPr>
    </w:p>
    <w:p w:rsidR="00BC3E53" w:rsidRPr="00D0462C" w:rsidRDefault="00BC3E53" w:rsidP="00BC3E53">
      <w:pPr>
        <w:ind w:left="709" w:right="707"/>
        <w:jc w:val="both"/>
        <w:rPr>
          <w:rFonts w:ascii="Arial" w:hAnsi="Arial" w:cs="Arial"/>
          <w:sz w:val="22"/>
          <w:szCs w:val="22"/>
        </w:rPr>
      </w:pPr>
    </w:p>
    <w:p w:rsidR="00161D96" w:rsidRPr="00E46EBD" w:rsidRDefault="00BC3E53" w:rsidP="00E46EBD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5B3A77">
        <w:rPr>
          <w:rFonts w:ascii="Arial" w:hAnsi="Arial" w:cs="Arial"/>
        </w:rPr>
        <w:t xml:space="preserve">El Banco Popular y de Desarrollo Comunal se permite convocar a  subasta de valores para el próximo </w:t>
      </w:r>
      <w:r w:rsidR="00A469CD">
        <w:rPr>
          <w:rFonts w:ascii="Arial" w:hAnsi="Arial" w:cs="Arial"/>
        </w:rPr>
        <w:t>08 de julio</w:t>
      </w:r>
      <w:r w:rsidR="00E46EBD">
        <w:rPr>
          <w:rFonts w:ascii="Arial" w:hAnsi="Arial" w:cs="Arial"/>
        </w:rPr>
        <w:t xml:space="preserve"> </w:t>
      </w:r>
      <w:r w:rsidR="00B842C4" w:rsidRPr="005B3A77">
        <w:rPr>
          <w:rFonts w:ascii="Arial" w:hAnsi="Arial" w:cs="Arial"/>
        </w:rPr>
        <w:t>del</w:t>
      </w:r>
      <w:r w:rsidR="00E46EBD">
        <w:rPr>
          <w:rFonts w:ascii="Arial" w:hAnsi="Arial" w:cs="Arial"/>
        </w:rPr>
        <w:t xml:space="preserve"> 2016</w:t>
      </w:r>
      <w:r w:rsidRPr="005B3A77">
        <w:rPr>
          <w:rFonts w:ascii="Arial" w:hAnsi="Arial" w:cs="Arial"/>
        </w:rPr>
        <w:t xml:space="preserve"> , a través del mercado organizado de la Bolsa Nacional de Valores, S.A., conforme a los mecanismos establecidos para este efecto por dicha Institución, </w:t>
      </w:r>
      <w:r w:rsidR="00A469CD">
        <w:rPr>
          <w:rFonts w:ascii="Arial" w:hAnsi="Arial" w:cs="Arial"/>
        </w:rPr>
        <w:t>de las series X4,X5 y X6</w:t>
      </w:r>
      <w:r w:rsidR="00B428F6" w:rsidRPr="00E46EBD">
        <w:rPr>
          <w:rFonts w:ascii="Arial" w:hAnsi="Arial" w:cs="Arial"/>
        </w:rPr>
        <w:t>, series que pertenecen al Programa  de emisión de deuda de corto y largo plazo</w:t>
      </w:r>
      <w:r w:rsidR="00A469CD">
        <w:rPr>
          <w:rFonts w:ascii="Arial" w:hAnsi="Arial" w:cs="Arial"/>
        </w:rPr>
        <w:t xml:space="preserve"> en colones, serie X</w:t>
      </w:r>
      <w:r w:rsidR="00B428F6" w:rsidRPr="00E46EBD">
        <w:rPr>
          <w:rFonts w:ascii="Arial" w:hAnsi="Arial" w:cs="Arial"/>
        </w:rPr>
        <w:t>, programas autorizados por la Superintendencia General de Valores , mediante resolución SGV-R-3000, del 03 de febrero del 2015; de conformidad con las siguientes características:</w:t>
      </w:r>
    </w:p>
    <w:p w:rsidR="00BC3E53" w:rsidRPr="00A70E18" w:rsidRDefault="00BC3E53" w:rsidP="00BC3E53">
      <w:pPr>
        <w:tabs>
          <w:tab w:val="left" w:pos="567"/>
        </w:tabs>
        <w:ind w:right="51"/>
        <w:rPr>
          <w:rFonts w:ascii="Arial" w:hAnsi="Arial" w:cs="Arial"/>
          <w:b/>
          <w:sz w:val="22"/>
          <w:szCs w:val="22"/>
          <w:lang w:val="es-CR"/>
        </w:rPr>
      </w:pPr>
    </w:p>
    <w:p w:rsidR="008B5B50" w:rsidRDefault="008B5B50" w:rsidP="003262D8">
      <w:pPr>
        <w:tabs>
          <w:tab w:val="left" w:pos="567"/>
        </w:tabs>
        <w:ind w:right="51"/>
        <w:jc w:val="center"/>
        <w:rPr>
          <w:rFonts w:ascii="Arial" w:hAnsi="Arial" w:cs="Arial"/>
          <w:b/>
          <w:szCs w:val="24"/>
        </w:rPr>
      </w:pPr>
    </w:p>
    <w:p w:rsidR="00820232" w:rsidRDefault="00820232" w:rsidP="00331E0B">
      <w:pPr>
        <w:tabs>
          <w:tab w:val="left" w:pos="567"/>
        </w:tabs>
        <w:ind w:right="51"/>
        <w:jc w:val="center"/>
        <w:rPr>
          <w:rFonts w:ascii="Arial" w:hAnsi="Arial" w:cs="Arial"/>
          <w:b/>
          <w:szCs w:val="24"/>
        </w:rPr>
      </w:pPr>
    </w:p>
    <w:p w:rsidR="00D0462C" w:rsidRDefault="00D0462C" w:rsidP="00BC3E53">
      <w:pPr>
        <w:tabs>
          <w:tab w:val="left" w:pos="567"/>
        </w:tabs>
        <w:ind w:right="51"/>
        <w:jc w:val="center"/>
        <w:rPr>
          <w:rFonts w:ascii="Arial" w:hAnsi="Arial" w:cs="Arial"/>
          <w:b/>
          <w:szCs w:val="24"/>
        </w:rPr>
      </w:pPr>
    </w:p>
    <w:p w:rsidR="00D0462C" w:rsidRPr="003F5AA2" w:rsidRDefault="00D0462C" w:rsidP="00BC3E53">
      <w:pPr>
        <w:tabs>
          <w:tab w:val="left" w:pos="567"/>
        </w:tabs>
        <w:ind w:right="51"/>
        <w:jc w:val="center"/>
        <w:rPr>
          <w:rFonts w:ascii="Arial" w:hAnsi="Arial" w:cs="Arial"/>
          <w:b/>
          <w:szCs w:val="24"/>
          <w:lang w:val="es-CR"/>
        </w:rPr>
      </w:pPr>
    </w:p>
    <w:p w:rsidR="00D0462C" w:rsidRDefault="00D0462C" w:rsidP="00BC3E53">
      <w:pPr>
        <w:tabs>
          <w:tab w:val="left" w:pos="567"/>
        </w:tabs>
        <w:ind w:right="51"/>
        <w:jc w:val="center"/>
        <w:rPr>
          <w:rFonts w:ascii="Arial" w:hAnsi="Arial" w:cs="Arial"/>
          <w:b/>
          <w:szCs w:val="24"/>
        </w:rPr>
      </w:pPr>
    </w:p>
    <w:p w:rsidR="00FD7E2C" w:rsidRPr="00161D96" w:rsidRDefault="00FD7E2C" w:rsidP="00161D96">
      <w:pPr>
        <w:tabs>
          <w:tab w:val="left" w:pos="567"/>
        </w:tabs>
        <w:ind w:right="51"/>
        <w:jc w:val="center"/>
        <w:rPr>
          <w:rFonts w:ascii="Arial" w:hAnsi="Arial" w:cs="Arial"/>
          <w:b/>
          <w:szCs w:val="24"/>
        </w:rPr>
      </w:pPr>
    </w:p>
    <w:p w:rsidR="00261DF7" w:rsidRPr="00582C3D" w:rsidRDefault="00261DF7" w:rsidP="00BC3E53">
      <w:pPr>
        <w:tabs>
          <w:tab w:val="left" w:pos="567"/>
        </w:tabs>
        <w:ind w:right="51"/>
        <w:jc w:val="center"/>
        <w:rPr>
          <w:rFonts w:ascii="Arial" w:hAnsi="Arial" w:cs="Arial"/>
          <w:b/>
          <w:szCs w:val="24"/>
          <w:lang w:val="es-CR"/>
        </w:rPr>
      </w:pPr>
    </w:p>
    <w:p w:rsidR="005B6572" w:rsidRDefault="005B6572" w:rsidP="00BC3E53">
      <w:pPr>
        <w:tabs>
          <w:tab w:val="left" w:pos="567"/>
        </w:tabs>
        <w:ind w:right="51"/>
        <w:jc w:val="center"/>
        <w:rPr>
          <w:rFonts w:ascii="Arial" w:hAnsi="Arial" w:cs="Arial"/>
          <w:i/>
          <w:sz w:val="18"/>
          <w:szCs w:val="18"/>
        </w:rPr>
      </w:pPr>
    </w:p>
    <w:p w:rsidR="00A67FDB" w:rsidRDefault="00A67FDB" w:rsidP="00BC3E53">
      <w:pPr>
        <w:tabs>
          <w:tab w:val="left" w:pos="567"/>
        </w:tabs>
        <w:ind w:right="51"/>
        <w:jc w:val="center"/>
        <w:rPr>
          <w:rFonts w:ascii="Arial" w:hAnsi="Arial" w:cs="Arial"/>
          <w:i/>
          <w:sz w:val="18"/>
          <w:szCs w:val="18"/>
        </w:rPr>
      </w:pPr>
    </w:p>
    <w:p w:rsidR="00A67FDB" w:rsidRDefault="00A67FDB" w:rsidP="00BC3E53">
      <w:pPr>
        <w:tabs>
          <w:tab w:val="left" w:pos="567"/>
        </w:tabs>
        <w:ind w:right="51"/>
        <w:jc w:val="center"/>
        <w:rPr>
          <w:rFonts w:ascii="Arial" w:hAnsi="Arial" w:cs="Arial"/>
          <w:i/>
          <w:sz w:val="18"/>
          <w:szCs w:val="18"/>
        </w:rPr>
      </w:pPr>
    </w:p>
    <w:p w:rsidR="00A67FDB" w:rsidRDefault="00A67FDB" w:rsidP="00BC3E53">
      <w:pPr>
        <w:tabs>
          <w:tab w:val="left" w:pos="567"/>
        </w:tabs>
        <w:ind w:right="51"/>
        <w:jc w:val="center"/>
        <w:rPr>
          <w:rFonts w:ascii="Arial" w:hAnsi="Arial" w:cs="Arial"/>
          <w:i/>
          <w:sz w:val="18"/>
          <w:szCs w:val="18"/>
        </w:rPr>
      </w:pPr>
    </w:p>
    <w:p w:rsidR="005B6572" w:rsidRDefault="005B6572" w:rsidP="00BC3E53">
      <w:pPr>
        <w:tabs>
          <w:tab w:val="left" w:pos="567"/>
        </w:tabs>
        <w:ind w:right="51"/>
        <w:jc w:val="center"/>
        <w:rPr>
          <w:rFonts w:ascii="Arial" w:hAnsi="Arial" w:cs="Arial"/>
          <w:i/>
          <w:sz w:val="18"/>
          <w:szCs w:val="18"/>
        </w:rPr>
      </w:pPr>
    </w:p>
    <w:p w:rsidR="005B6572" w:rsidRDefault="005B6572" w:rsidP="00BC3E53">
      <w:pPr>
        <w:tabs>
          <w:tab w:val="left" w:pos="567"/>
        </w:tabs>
        <w:ind w:right="51"/>
        <w:jc w:val="center"/>
        <w:rPr>
          <w:rFonts w:ascii="Arial" w:hAnsi="Arial" w:cs="Arial"/>
          <w:b/>
          <w:szCs w:val="24"/>
        </w:rPr>
      </w:pPr>
    </w:p>
    <w:p w:rsidR="006A29E6" w:rsidRDefault="006A29E6" w:rsidP="00BC3E53">
      <w:pPr>
        <w:tabs>
          <w:tab w:val="left" w:pos="567"/>
        </w:tabs>
        <w:ind w:right="51"/>
        <w:jc w:val="center"/>
        <w:rPr>
          <w:rFonts w:ascii="Arial" w:hAnsi="Arial" w:cs="Arial"/>
          <w:b/>
          <w:szCs w:val="24"/>
        </w:rPr>
      </w:pPr>
    </w:p>
    <w:p w:rsidR="008C546C" w:rsidRDefault="00A469CD" w:rsidP="006F63BE">
      <w:pPr>
        <w:tabs>
          <w:tab w:val="left" w:pos="567"/>
        </w:tabs>
        <w:ind w:right="51"/>
        <w:rPr>
          <w:rFonts w:ascii="Arial" w:hAnsi="Arial" w:cs="Arial"/>
          <w:b/>
          <w:szCs w:val="24"/>
        </w:rPr>
      </w:pPr>
      <w:r w:rsidRPr="00A469CD">
        <w:rPr>
          <w:noProof/>
          <w:lang w:val="es-NI" w:eastAsia="es-NI"/>
        </w:rPr>
        <w:drawing>
          <wp:inline distT="0" distB="0" distL="0" distR="0">
            <wp:extent cx="5971540" cy="5236724"/>
            <wp:effectExtent l="0" t="0" r="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523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DF7" w:rsidRDefault="00261DF7" w:rsidP="00E46EBD">
      <w:pPr>
        <w:tabs>
          <w:tab w:val="left" w:pos="567"/>
        </w:tabs>
        <w:ind w:right="51"/>
        <w:jc w:val="center"/>
        <w:rPr>
          <w:rFonts w:ascii="Arial" w:hAnsi="Arial" w:cs="Arial"/>
          <w:b/>
          <w:szCs w:val="24"/>
        </w:rPr>
      </w:pPr>
    </w:p>
    <w:p w:rsidR="00E46EBD" w:rsidRDefault="00E46EBD" w:rsidP="00E46EBD">
      <w:pPr>
        <w:tabs>
          <w:tab w:val="left" w:pos="567"/>
        </w:tabs>
        <w:ind w:right="51"/>
        <w:jc w:val="center"/>
        <w:rPr>
          <w:rFonts w:ascii="Arial" w:hAnsi="Arial" w:cs="Arial"/>
          <w:b/>
          <w:szCs w:val="24"/>
        </w:rPr>
      </w:pPr>
    </w:p>
    <w:p w:rsidR="00E014FE" w:rsidRDefault="00E014FE" w:rsidP="002F449B">
      <w:pPr>
        <w:tabs>
          <w:tab w:val="left" w:pos="567"/>
        </w:tabs>
        <w:ind w:right="51"/>
        <w:rPr>
          <w:rFonts w:ascii="Arial" w:hAnsi="Arial" w:cs="Arial"/>
          <w:b/>
          <w:szCs w:val="24"/>
        </w:rPr>
      </w:pPr>
    </w:p>
    <w:p w:rsidR="00A469CD" w:rsidRDefault="00A469CD" w:rsidP="002F449B">
      <w:pPr>
        <w:tabs>
          <w:tab w:val="left" w:pos="567"/>
        </w:tabs>
        <w:ind w:right="51"/>
        <w:rPr>
          <w:rFonts w:ascii="Arial" w:hAnsi="Arial" w:cs="Arial"/>
          <w:b/>
          <w:szCs w:val="24"/>
        </w:rPr>
      </w:pPr>
    </w:p>
    <w:p w:rsidR="00A469CD" w:rsidRDefault="00A469CD" w:rsidP="002F449B">
      <w:pPr>
        <w:tabs>
          <w:tab w:val="left" w:pos="567"/>
        </w:tabs>
        <w:ind w:right="51"/>
        <w:rPr>
          <w:rFonts w:ascii="Arial" w:hAnsi="Arial" w:cs="Arial"/>
          <w:b/>
          <w:szCs w:val="24"/>
        </w:rPr>
      </w:pPr>
    </w:p>
    <w:p w:rsidR="00A469CD" w:rsidRDefault="00A469CD" w:rsidP="002F449B">
      <w:pPr>
        <w:tabs>
          <w:tab w:val="left" w:pos="567"/>
        </w:tabs>
        <w:ind w:right="51"/>
        <w:rPr>
          <w:rFonts w:ascii="Arial" w:hAnsi="Arial" w:cs="Arial"/>
          <w:b/>
          <w:szCs w:val="24"/>
        </w:rPr>
      </w:pPr>
    </w:p>
    <w:p w:rsidR="003C0AAE" w:rsidRDefault="003C0AAE" w:rsidP="002F449B">
      <w:pPr>
        <w:tabs>
          <w:tab w:val="left" w:pos="567"/>
        </w:tabs>
        <w:ind w:right="51"/>
        <w:rPr>
          <w:rFonts w:ascii="Arial" w:hAnsi="Arial" w:cs="Arial"/>
          <w:b/>
          <w:szCs w:val="24"/>
        </w:rPr>
      </w:pPr>
    </w:p>
    <w:p w:rsidR="00BC3E53" w:rsidRDefault="00BC3E53" w:rsidP="000B60CD">
      <w:pPr>
        <w:tabs>
          <w:tab w:val="left" w:pos="567"/>
        </w:tabs>
        <w:ind w:right="51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Características de la Subasta:</w:t>
      </w:r>
    </w:p>
    <w:p w:rsidR="005B6572" w:rsidRDefault="005B6572" w:rsidP="00E47BFF">
      <w:pPr>
        <w:ind w:right="51"/>
        <w:jc w:val="center"/>
        <w:rPr>
          <w:noProof/>
          <w:lang w:val="es-CR" w:eastAsia="es-CR"/>
        </w:rPr>
      </w:pPr>
    </w:p>
    <w:p w:rsidR="00FC5CC1" w:rsidRPr="00930957" w:rsidRDefault="00FC5CC1" w:rsidP="00E47BFF">
      <w:pPr>
        <w:ind w:right="51"/>
        <w:jc w:val="center"/>
        <w:rPr>
          <w:rFonts w:ascii="Arial" w:hAnsi="Arial" w:cs="Arial"/>
          <w:b/>
          <w:szCs w:val="24"/>
          <w:lang w:val="es-CR"/>
        </w:rPr>
      </w:pPr>
    </w:p>
    <w:p w:rsidR="00515F8A" w:rsidRDefault="00144FE6" w:rsidP="008C3BDA">
      <w:pPr>
        <w:ind w:right="51"/>
        <w:jc w:val="center"/>
        <w:rPr>
          <w:rFonts w:ascii="Arial" w:hAnsi="Arial" w:cs="Arial"/>
          <w:b/>
          <w:sz w:val="18"/>
          <w:szCs w:val="18"/>
          <w:lang w:val="es-CR"/>
        </w:rPr>
      </w:pPr>
      <w:r w:rsidRPr="00144FE6">
        <w:rPr>
          <w:noProof/>
          <w:lang w:val="es-NI" w:eastAsia="es-NI"/>
        </w:rPr>
        <w:drawing>
          <wp:inline distT="0" distB="0" distL="0" distR="0">
            <wp:extent cx="5724525" cy="3114675"/>
            <wp:effectExtent l="0" t="0" r="9525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B47" w:rsidRDefault="009F1B47" w:rsidP="008C3BDA">
      <w:pPr>
        <w:ind w:right="51"/>
        <w:jc w:val="center"/>
        <w:rPr>
          <w:rFonts w:ascii="Arial" w:hAnsi="Arial" w:cs="Arial"/>
          <w:b/>
          <w:sz w:val="18"/>
          <w:szCs w:val="18"/>
          <w:lang w:val="es-CR"/>
        </w:rPr>
      </w:pPr>
    </w:p>
    <w:p w:rsidR="009102A3" w:rsidRDefault="009102A3" w:rsidP="008C3BDA">
      <w:pPr>
        <w:ind w:right="51"/>
        <w:jc w:val="center"/>
        <w:rPr>
          <w:rFonts w:ascii="Arial" w:hAnsi="Arial" w:cs="Arial"/>
          <w:b/>
          <w:sz w:val="18"/>
          <w:szCs w:val="18"/>
          <w:lang w:val="es-CR"/>
        </w:rPr>
      </w:pPr>
    </w:p>
    <w:p w:rsidR="00582C3D" w:rsidRPr="00092E80" w:rsidRDefault="00582C3D" w:rsidP="008C3BDA">
      <w:pPr>
        <w:ind w:right="51"/>
        <w:jc w:val="center"/>
        <w:rPr>
          <w:rFonts w:ascii="Arial" w:hAnsi="Arial" w:cs="Arial"/>
          <w:b/>
          <w:sz w:val="18"/>
          <w:szCs w:val="18"/>
          <w:lang w:val="es-CR"/>
        </w:rPr>
      </w:pPr>
    </w:p>
    <w:p w:rsidR="00BC3E53" w:rsidRPr="00E47BFF" w:rsidRDefault="00BC3E53" w:rsidP="00BC3E53">
      <w:pPr>
        <w:ind w:right="51"/>
        <w:jc w:val="both"/>
        <w:rPr>
          <w:rFonts w:ascii="Arial" w:hAnsi="Arial" w:cs="Arial"/>
          <w:sz w:val="18"/>
          <w:szCs w:val="18"/>
        </w:rPr>
      </w:pPr>
      <w:r w:rsidRPr="004700C4">
        <w:rPr>
          <w:rFonts w:ascii="Arial" w:hAnsi="Arial" w:cs="Arial"/>
          <w:b/>
          <w:sz w:val="18"/>
          <w:szCs w:val="18"/>
        </w:rPr>
        <w:t>Notas:</w:t>
      </w:r>
    </w:p>
    <w:p w:rsidR="00BC3E53" w:rsidRPr="004700C4" w:rsidRDefault="00BC3E53" w:rsidP="00BC3E53">
      <w:pPr>
        <w:ind w:right="51"/>
        <w:jc w:val="both"/>
        <w:rPr>
          <w:rFonts w:ascii="Arial" w:hAnsi="Arial" w:cs="Arial"/>
          <w:b/>
          <w:sz w:val="18"/>
          <w:szCs w:val="18"/>
        </w:rPr>
      </w:pPr>
    </w:p>
    <w:p w:rsidR="004C7E51" w:rsidRDefault="005158C4" w:rsidP="004C7E5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9A08E8">
        <w:rPr>
          <w:rFonts w:ascii="Arial" w:hAnsi="Arial" w:cs="Arial"/>
          <w:sz w:val="18"/>
          <w:szCs w:val="18"/>
        </w:rPr>
        <w:t>Tratamiento Fiscal: De conformidad con el artículo 39 de la Ley Orgánica del Banco Popular y de Desarrollo Comunal y el artículo 23 de la Ley  del Impuesto sobre la Renta, los intereses que se pagan por los títulos valores emitidos en colones por el Banco Popular están exentos del 8,00% del impuesto sobre la renta. Los intereses que se pagan por los títulos valores emitidos en dólares por el Banco Popular están afectos a la retención del 8% del impuesto sobre la renta. La retención en la fuente del impuesto a los rendimientos se realizará en la fecha de liquidación.</w:t>
      </w:r>
    </w:p>
    <w:p w:rsidR="00A67FDB" w:rsidRDefault="00A67FDB" w:rsidP="00A67FDB">
      <w:pPr>
        <w:jc w:val="both"/>
        <w:rPr>
          <w:rFonts w:ascii="Arial" w:hAnsi="Arial" w:cs="Arial"/>
          <w:sz w:val="18"/>
          <w:szCs w:val="18"/>
        </w:rPr>
      </w:pPr>
    </w:p>
    <w:p w:rsidR="00A67FDB" w:rsidRPr="00A67FDB" w:rsidRDefault="00A67FDB" w:rsidP="00A67FDB">
      <w:pPr>
        <w:jc w:val="both"/>
        <w:rPr>
          <w:rFonts w:ascii="Arial" w:hAnsi="Arial" w:cs="Arial"/>
          <w:sz w:val="18"/>
          <w:szCs w:val="18"/>
        </w:rPr>
      </w:pPr>
    </w:p>
    <w:p w:rsidR="00144FE6" w:rsidRDefault="00845730" w:rsidP="00144FE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4C7E51">
        <w:rPr>
          <w:rFonts w:ascii="Arial" w:hAnsi="Arial" w:cs="Arial"/>
          <w:sz w:val="18"/>
          <w:szCs w:val="18"/>
        </w:rPr>
        <w:t>El Consejo de Calificación de Fitch Costa Rica Calificadora de Riesgo, S.A.</w:t>
      </w:r>
      <w:r w:rsidR="00BB0D45">
        <w:rPr>
          <w:rFonts w:ascii="Arial" w:hAnsi="Arial" w:cs="Arial"/>
          <w:sz w:val="18"/>
          <w:szCs w:val="18"/>
        </w:rPr>
        <w:t>,</w:t>
      </w:r>
      <w:r w:rsidR="00F66E35" w:rsidRPr="00F66E35">
        <w:t xml:space="preserve"> </w:t>
      </w:r>
      <w:r w:rsidR="00F66E35" w:rsidRPr="00F66E35">
        <w:rPr>
          <w:rFonts w:ascii="Arial" w:hAnsi="Arial" w:cs="Arial"/>
          <w:sz w:val="18"/>
          <w:szCs w:val="18"/>
        </w:rPr>
        <w:t>Ordinaria No. 018-2016 del 30 de marzo de 2016</w:t>
      </w:r>
      <w:r w:rsidR="00F66E35">
        <w:rPr>
          <w:rFonts w:ascii="Arial" w:hAnsi="Arial" w:cs="Arial"/>
          <w:sz w:val="18"/>
          <w:szCs w:val="18"/>
        </w:rPr>
        <w:t>,</w:t>
      </w:r>
      <w:r w:rsidRPr="004C7E51">
        <w:rPr>
          <w:rFonts w:ascii="Arial" w:hAnsi="Arial" w:cs="Arial"/>
          <w:sz w:val="18"/>
          <w:szCs w:val="18"/>
        </w:rPr>
        <w:t xml:space="preserve"> acordó la Calificación de la deuda de corto y largo plazo del Banco Popular con base en</w:t>
      </w:r>
      <w:r w:rsidR="00F66E35" w:rsidRPr="00F66E35">
        <w:t xml:space="preserve"> </w:t>
      </w:r>
      <w:r w:rsidR="00F66E35" w:rsidRPr="00F66E35">
        <w:rPr>
          <w:rFonts w:ascii="Arial" w:hAnsi="Arial" w:cs="Arial"/>
          <w:sz w:val="18"/>
          <w:szCs w:val="18"/>
        </w:rPr>
        <w:t xml:space="preserve">información financiera  auditada al </w:t>
      </w:r>
      <w:r w:rsidR="00F66E35">
        <w:rPr>
          <w:rFonts w:ascii="Arial" w:hAnsi="Arial" w:cs="Arial"/>
          <w:sz w:val="18"/>
          <w:szCs w:val="18"/>
        </w:rPr>
        <w:t>31 de diciembre de 2015.</w:t>
      </w:r>
    </w:p>
    <w:p w:rsidR="00845730" w:rsidRPr="00144FE6" w:rsidRDefault="00845730" w:rsidP="00144FE6">
      <w:pPr>
        <w:pStyle w:val="Prrafodelista"/>
        <w:ind w:left="360"/>
        <w:jc w:val="both"/>
        <w:rPr>
          <w:rFonts w:ascii="Arial" w:hAnsi="Arial" w:cs="Arial"/>
          <w:sz w:val="18"/>
          <w:szCs w:val="18"/>
        </w:rPr>
      </w:pPr>
      <w:r w:rsidRPr="00144FE6">
        <w:rPr>
          <w:rFonts w:ascii="Arial" w:hAnsi="Arial" w:cs="Arial"/>
          <w:sz w:val="18"/>
          <w:szCs w:val="18"/>
        </w:rPr>
        <w:t>La calificación nacional F1+ (cri) para la deuda de corto plazo indica la más sólida capacidad de pago oportuno de los compromisos financieros respecto de otros emisores u obligaciones en Costa Rica. Según la escala de calificación nacional de la agencia, esta calificación se asigna al emisor u obligación con la probabilidad de incumplimiento más baja respecto de otros en Costa Rica. Cuando el perfil de liquidez es particularmente sólido, se agrega un signo ‘+‘ a la calificación. La calificación nacional AA+(cri) para deuda de largo plazo indica una expectativa de riesgo de incumplimiento muy bajo respecto de otros emisores u obligaciones en Costa Rica. El riesgo de incumplimiento inherente difiere sólo levemente de aquel que presentan los emisores u obligaciones del país con la más alta calificación. La adición del signo positivo (+) o negativo (-) indica la posición relativa dentro de las distintas categorías de calificación.  La calificación se actualiza semestralmente y puede ser consultada en las oficinas centrales del emisor y en la Superintendencia General de Valores.</w:t>
      </w:r>
    </w:p>
    <w:p w:rsidR="00845730" w:rsidRPr="00845730" w:rsidRDefault="00845730" w:rsidP="00845730">
      <w:pPr>
        <w:pStyle w:val="Prrafodelista"/>
        <w:ind w:left="360"/>
        <w:jc w:val="both"/>
        <w:rPr>
          <w:rFonts w:ascii="Arial" w:hAnsi="Arial" w:cs="Arial"/>
          <w:sz w:val="18"/>
          <w:szCs w:val="18"/>
        </w:rPr>
      </w:pPr>
    </w:p>
    <w:p w:rsidR="00845730" w:rsidRDefault="00845730" w:rsidP="00845730">
      <w:pPr>
        <w:pStyle w:val="Prrafodelista"/>
        <w:ind w:left="360"/>
        <w:jc w:val="both"/>
        <w:rPr>
          <w:rFonts w:ascii="Arial" w:hAnsi="Arial" w:cs="Arial"/>
          <w:sz w:val="18"/>
          <w:szCs w:val="18"/>
        </w:rPr>
      </w:pPr>
      <w:r w:rsidRPr="00845730">
        <w:rPr>
          <w:rFonts w:ascii="Arial" w:hAnsi="Arial" w:cs="Arial"/>
          <w:sz w:val="18"/>
          <w:szCs w:val="18"/>
        </w:rPr>
        <w:t>El Consejo de Calificación de Sociedad Calificadora de Riesgo Centroamericana, S.A Consejo Sesión Ordinaria No</w:t>
      </w:r>
      <w:r w:rsidR="00B428F6">
        <w:rPr>
          <w:rFonts w:ascii="Arial" w:hAnsi="Arial" w:cs="Arial"/>
          <w:sz w:val="18"/>
          <w:szCs w:val="18"/>
        </w:rPr>
        <w:t>.1242015 del 29 de octubre</w:t>
      </w:r>
      <w:r>
        <w:rPr>
          <w:rFonts w:ascii="Arial" w:hAnsi="Arial" w:cs="Arial"/>
          <w:sz w:val="18"/>
          <w:szCs w:val="18"/>
        </w:rPr>
        <w:t xml:space="preserve"> de</w:t>
      </w:r>
      <w:r w:rsidR="00B428F6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 201</w:t>
      </w:r>
      <w:r w:rsidRPr="00845730">
        <w:rPr>
          <w:rFonts w:ascii="Arial" w:hAnsi="Arial" w:cs="Arial"/>
          <w:sz w:val="18"/>
          <w:szCs w:val="18"/>
        </w:rPr>
        <w:t xml:space="preserve">5, con información financiera </w:t>
      </w:r>
      <w:r w:rsidR="00B428F6">
        <w:rPr>
          <w:rFonts w:ascii="Arial" w:hAnsi="Arial" w:cs="Arial"/>
          <w:sz w:val="18"/>
          <w:szCs w:val="18"/>
        </w:rPr>
        <w:t>no auditada al 30 de junio del 2015</w:t>
      </w:r>
      <w:r w:rsidRPr="00845730">
        <w:rPr>
          <w:rFonts w:ascii="Arial" w:hAnsi="Arial" w:cs="Arial"/>
          <w:sz w:val="18"/>
          <w:szCs w:val="18"/>
        </w:rPr>
        <w:t xml:space="preserve"> y consi</w:t>
      </w:r>
      <w:r w:rsidR="00B428F6">
        <w:rPr>
          <w:rFonts w:ascii="Arial" w:hAnsi="Arial" w:cs="Arial"/>
          <w:sz w:val="18"/>
          <w:szCs w:val="18"/>
        </w:rPr>
        <w:t>derando información a marzo del 2015</w:t>
      </w:r>
      <w:r w:rsidRPr="00845730">
        <w:rPr>
          <w:rFonts w:ascii="Arial" w:hAnsi="Arial" w:cs="Arial"/>
          <w:sz w:val="18"/>
          <w:szCs w:val="18"/>
        </w:rPr>
        <w:t>. La calificación se actualiza semestralmente y puede ser consultada en las oficinas centrales del emisor y en la Superintendencia General de Valores</w:t>
      </w:r>
      <w:r>
        <w:rPr>
          <w:rFonts w:ascii="Arial" w:hAnsi="Arial" w:cs="Arial"/>
          <w:sz w:val="18"/>
          <w:szCs w:val="18"/>
        </w:rPr>
        <w:t>.</w:t>
      </w:r>
    </w:p>
    <w:p w:rsidR="00845730" w:rsidRPr="00845730" w:rsidRDefault="00845730" w:rsidP="00845730">
      <w:pPr>
        <w:pStyle w:val="Prrafodelista"/>
        <w:ind w:left="360"/>
        <w:jc w:val="both"/>
        <w:rPr>
          <w:rFonts w:ascii="Arial" w:hAnsi="Arial" w:cs="Arial"/>
          <w:sz w:val="18"/>
          <w:szCs w:val="18"/>
        </w:rPr>
      </w:pPr>
    </w:p>
    <w:p w:rsidR="00845730" w:rsidRDefault="00845730" w:rsidP="00845730">
      <w:pPr>
        <w:pStyle w:val="Prrafodelista"/>
        <w:ind w:left="360"/>
        <w:jc w:val="both"/>
        <w:rPr>
          <w:rFonts w:ascii="Arial" w:hAnsi="Arial" w:cs="Arial"/>
          <w:sz w:val="18"/>
          <w:szCs w:val="18"/>
        </w:rPr>
      </w:pPr>
      <w:r w:rsidRPr="00845730">
        <w:rPr>
          <w:rFonts w:ascii="Arial" w:hAnsi="Arial" w:cs="Arial"/>
          <w:sz w:val="18"/>
          <w:szCs w:val="18"/>
        </w:rPr>
        <w:t>Explicación de la calificación otorgada:</w:t>
      </w:r>
    </w:p>
    <w:p w:rsidR="00B428F6" w:rsidRPr="00B428F6" w:rsidRDefault="00B428F6" w:rsidP="00B428F6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  <w:r w:rsidRPr="00B428F6">
        <w:rPr>
          <w:rFonts w:ascii="Arial" w:hAnsi="Arial" w:cs="Arial"/>
          <w:sz w:val="18"/>
          <w:szCs w:val="18"/>
        </w:rPr>
        <w:t>La calificación scrAA se otorga a aquellas “Emisiones con muy alta capacidad de pago del capital e intereses en los términos y plazos acordados. No se vería afectada en forma significativa ante eventuales cambios en el emisor, en la industria a la que pertenece o en la economía. Nivel Muy Bueno”.</w:t>
      </w:r>
    </w:p>
    <w:p w:rsidR="00B428F6" w:rsidRPr="00B428F6" w:rsidRDefault="00B428F6" w:rsidP="00B428F6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  <w:r w:rsidRPr="00B428F6">
        <w:rPr>
          <w:rFonts w:ascii="Arial" w:hAnsi="Arial" w:cs="Arial"/>
          <w:sz w:val="18"/>
          <w:szCs w:val="18"/>
        </w:rPr>
        <w:t>La calificación SCR 1 se otorga a aquellas “Emisiones a Corto Plazo que tienen la más alta capacidad de pago del capital e intereses en los términos y plazos pactados. Sus factores de riesgo no se verían afectados ante posibles cambios en el emisor, en la industria a la que pertenece o en la economía. Nivel Excelente.”</w:t>
      </w:r>
    </w:p>
    <w:p w:rsidR="00B428F6" w:rsidRPr="00B428F6" w:rsidRDefault="00B428F6" w:rsidP="00B428F6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  <w:r w:rsidRPr="00B428F6">
        <w:rPr>
          <w:rFonts w:ascii="Arial" w:hAnsi="Arial" w:cs="Arial"/>
          <w:sz w:val="18"/>
          <w:szCs w:val="18"/>
        </w:rPr>
        <w:t>La calificación SCR 2 se otorga a aquellas “Emisiones a Corto Plazo que tienen muy alta capacidad de pago del capital e intereses en los términos y plazos acordados. Sus factores de riesgo no se verían afectados en forma significativa ante eventuales cambios en el emisor, en la industria a la que pertenece o en la economía al corto plazo. Nivel Muy Bueno.”</w:t>
      </w:r>
    </w:p>
    <w:p w:rsidR="00B428F6" w:rsidRPr="00B428F6" w:rsidRDefault="00B428F6" w:rsidP="00B428F6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  <w:r w:rsidRPr="00B428F6">
        <w:rPr>
          <w:rFonts w:ascii="Arial" w:hAnsi="Arial" w:cs="Arial"/>
          <w:sz w:val="18"/>
          <w:szCs w:val="18"/>
        </w:rPr>
        <w:t>Las calificaciones desde “scrAA” a “scrC” y desde “SCR2” a “SCR5” pueden ser modificadas por la adición del signo positivo (+) o negativo (-) para indicar la posición relativa dentro de las diferentes categorías.</w:t>
      </w:r>
    </w:p>
    <w:p w:rsidR="00845730" w:rsidRPr="00B428F6" w:rsidRDefault="00845730" w:rsidP="00B428F6">
      <w:pPr>
        <w:jc w:val="both"/>
        <w:rPr>
          <w:rFonts w:ascii="Arial" w:hAnsi="Arial" w:cs="Arial"/>
          <w:sz w:val="18"/>
          <w:szCs w:val="18"/>
        </w:rPr>
      </w:pPr>
      <w:r w:rsidRPr="00B428F6">
        <w:rPr>
          <w:rFonts w:ascii="Arial" w:hAnsi="Arial" w:cs="Arial"/>
          <w:sz w:val="18"/>
          <w:szCs w:val="18"/>
        </w:rPr>
        <w:t>Perspectiva Estable: Se percibe una baja probabilidad de que la calificación varíe en el mediano plazo.</w:t>
      </w:r>
    </w:p>
    <w:p w:rsidR="00845730" w:rsidRDefault="00845730" w:rsidP="00845730">
      <w:pPr>
        <w:pStyle w:val="Prrafodelista"/>
        <w:ind w:left="360"/>
        <w:jc w:val="both"/>
        <w:rPr>
          <w:rFonts w:ascii="Arial" w:hAnsi="Arial" w:cs="Arial"/>
          <w:sz w:val="18"/>
          <w:szCs w:val="18"/>
        </w:rPr>
      </w:pPr>
    </w:p>
    <w:p w:rsidR="00A67FDB" w:rsidRDefault="00A67FDB" w:rsidP="00845730">
      <w:pPr>
        <w:pStyle w:val="Prrafodelista"/>
        <w:ind w:left="360"/>
        <w:jc w:val="both"/>
        <w:rPr>
          <w:rFonts w:ascii="Arial" w:hAnsi="Arial" w:cs="Arial"/>
          <w:sz w:val="18"/>
          <w:szCs w:val="18"/>
        </w:rPr>
      </w:pPr>
    </w:p>
    <w:p w:rsidR="00A67FDB" w:rsidRDefault="00A67FDB" w:rsidP="00845730">
      <w:pPr>
        <w:pStyle w:val="Prrafodelista"/>
        <w:ind w:left="360"/>
        <w:jc w:val="both"/>
        <w:rPr>
          <w:rFonts w:ascii="Arial" w:hAnsi="Arial" w:cs="Arial"/>
          <w:sz w:val="18"/>
          <w:szCs w:val="18"/>
        </w:rPr>
      </w:pPr>
    </w:p>
    <w:p w:rsidR="00DB7F15" w:rsidRDefault="00DB7F15" w:rsidP="00161D96">
      <w:pPr>
        <w:jc w:val="both"/>
        <w:rPr>
          <w:rFonts w:ascii="Arial" w:hAnsi="Arial" w:cs="Arial"/>
          <w:sz w:val="18"/>
          <w:szCs w:val="18"/>
        </w:rPr>
      </w:pPr>
    </w:p>
    <w:p w:rsidR="00A67FDB" w:rsidRDefault="00A67FDB" w:rsidP="00161D96">
      <w:pPr>
        <w:jc w:val="both"/>
        <w:rPr>
          <w:rFonts w:ascii="Arial" w:hAnsi="Arial" w:cs="Arial"/>
          <w:sz w:val="18"/>
          <w:szCs w:val="18"/>
        </w:rPr>
      </w:pPr>
    </w:p>
    <w:p w:rsidR="00A67FDB" w:rsidRDefault="00A67FDB" w:rsidP="00161D96">
      <w:pPr>
        <w:jc w:val="both"/>
        <w:rPr>
          <w:rFonts w:ascii="Arial" w:hAnsi="Arial" w:cs="Arial"/>
          <w:sz w:val="18"/>
          <w:szCs w:val="18"/>
        </w:rPr>
      </w:pPr>
    </w:p>
    <w:p w:rsidR="00A67FDB" w:rsidRDefault="00A67FDB" w:rsidP="00161D96">
      <w:pPr>
        <w:jc w:val="both"/>
        <w:rPr>
          <w:rFonts w:ascii="Arial" w:hAnsi="Arial" w:cs="Arial"/>
          <w:sz w:val="18"/>
          <w:szCs w:val="18"/>
        </w:rPr>
      </w:pPr>
    </w:p>
    <w:p w:rsidR="00A67FDB" w:rsidRPr="00161D96" w:rsidRDefault="00A67FDB" w:rsidP="00161D96">
      <w:pPr>
        <w:jc w:val="both"/>
        <w:rPr>
          <w:rFonts w:ascii="Arial" w:hAnsi="Arial" w:cs="Arial"/>
          <w:sz w:val="18"/>
          <w:szCs w:val="18"/>
        </w:rPr>
      </w:pPr>
    </w:p>
    <w:p w:rsidR="00BC3E53" w:rsidRDefault="00BC3E53" w:rsidP="00961937">
      <w:pPr>
        <w:pStyle w:val="Prrafodelista"/>
        <w:numPr>
          <w:ilvl w:val="0"/>
          <w:numId w:val="2"/>
        </w:numPr>
        <w:tabs>
          <w:tab w:val="left" w:pos="567"/>
        </w:tabs>
        <w:ind w:right="51"/>
        <w:jc w:val="both"/>
        <w:rPr>
          <w:rFonts w:ascii="Arial" w:hAnsi="Arial" w:cs="Arial"/>
          <w:szCs w:val="24"/>
        </w:rPr>
      </w:pPr>
      <w:r w:rsidRPr="00413803">
        <w:rPr>
          <w:rFonts w:ascii="Arial" w:hAnsi="Arial" w:cs="Arial"/>
          <w:b/>
          <w:szCs w:val="24"/>
        </w:rPr>
        <w:t>Comisión única de colocación:</w:t>
      </w:r>
      <w:r w:rsidRPr="00413803">
        <w:rPr>
          <w:rFonts w:ascii="Arial" w:hAnsi="Arial" w:cs="Arial"/>
          <w:szCs w:val="24"/>
        </w:rPr>
        <w:t xml:space="preserve"> El emisor pagará a cada Puesto de Bolsa asignado en esta subasta una comisión flat sobre el monto transado que se le asigne, según el siguiente detalle:</w:t>
      </w:r>
    </w:p>
    <w:p w:rsidR="00F66E35" w:rsidRPr="00A67FDB" w:rsidRDefault="00F66E35" w:rsidP="00A67FDB">
      <w:pPr>
        <w:pStyle w:val="Prrafodelista"/>
        <w:tabs>
          <w:tab w:val="left" w:pos="567"/>
        </w:tabs>
        <w:ind w:right="51"/>
        <w:jc w:val="center"/>
        <w:rPr>
          <w:rFonts w:ascii="Arial" w:hAnsi="Arial" w:cs="Arial"/>
          <w:szCs w:val="24"/>
        </w:rPr>
      </w:pPr>
      <w:r w:rsidRPr="00F66E35">
        <w:rPr>
          <w:noProof/>
          <w:lang w:val="es-NI" w:eastAsia="es-NI"/>
        </w:rPr>
        <w:drawing>
          <wp:inline distT="0" distB="0" distL="0" distR="0">
            <wp:extent cx="1685925" cy="50482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FDB" w:rsidRPr="00A67FDB" w:rsidRDefault="002609B0" w:rsidP="00A67FDB">
      <w:pPr>
        <w:pStyle w:val="Prrafodelista"/>
        <w:numPr>
          <w:ilvl w:val="0"/>
          <w:numId w:val="2"/>
        </w:numPr>
        <w:tabs>
          <w:tab w:val="left" w:pos="567"/>
        </w:tabs>
        <w:ind w:right="5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Precio</w:t>
      </w:r>
    </w:p>
    <w:p w:rsidR="00161D96" w:rsidRDefault="00F66E35" w:rsidP="002B4194">
      <w:pPr>
        <w:tabs>
          <w:tab w:val="left" w:pos="567"/>
        </w:tabs>
        <w:ind w:right="51"/>
        <w:jc w:val="center"/>
        <w:rPr>
          <w:rFonts w:ascii="Arial" w:hAnsi="Arial" w:cs="Arial"/>
          <w:b/>
          <w:sz w:val="22"/>
          <w:szCs w:val="22"/>
        </w:rPr>
      </w:pPr>
      <w:r w:rsidRPr="00F66E35">
        <w:rPr>
          <w:noProof/>
          <w:lang w:val="es-NI" w:eastAsia="es-NI"/>
        </w:rPr>
        <w:drawing>
          <wp:inline distT="0" distB="0" distL="0" distR="0">
            <wp:extent cx="3429000" cy="619125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46C" w:rsidRDefault="008C546C" w:rsidP="00BC3E53">
      <w:pPr>
        <w:tabs>
          <w:tab w:val="left" w:pos="567"/>
        </w:tabs>
        <w:ind w:right="51"/>
        <w:jc w:val="both"/>
        <w:rPr>
          <w:rFonts w:ascii="Arial" w:hAnsi="Arial" w:cs="Arial"/>
          <w:b/>
          <w:i/>
          <w:sz w:val="22"/>
          <w:szCs w:val="22"/>
        </w:rPr>
      </w:pPr>
    </w:p>
    <w:p w:rsidR="008C546C" w:rsidRDefault="008C546C" w:rsidP="00BC3E53">
      <w:pPr>
        <w:tabs>
          <w:tab w:val="left" w:pos="567"/>
        </w:tabs>
        <w:ind w:right="51"/>
        <w:jc w:val="both"/>
        <w:rPr>
          <w:rFonts w:ascii="Arial" w:hAnsi="Arial" w:cs="Arial"/>
          <w:b/>
          <w:i/>
          <w:sz w:val="22"/>
          <w:szCs w:val="22"/>
        </w:rPr>
      </w:pPr>
    </w:p>
    <w:p w:rsidR="00BC3E53" w:rsidRPr="00D0462C" w:rsidRDefault="00BC3E53" w:rsidP="00BC3E53">
      <w:pPr>
        <w:tabs>
          <w:tab w:val="left" w:pos="567"/>
        </w:tabs>
        <w:ind w:right="51"/>
        <w:jc w:val="both"/>
        <w:rPr>
          <w:rFonts w:ascii="Arial" w:hAnsi="Arial" w:cs="Arial"/>
          <w:b/>
          <w:i/>
          <w:sz w:val="22"/>
          <w:szCs w:val="22"/>
        </w:rPr>
      </w:pPr>
      <w:r w:rsidRPr="00D0462C">
        <w:rPr>
          <w:rFonts w:ascii="Arial" w:hAnsi="Arial" w:cs="Arial"/>
          <w:b/>
          <w:i/>
          <w:sz w:val="22"/>
          <w:szCs w:val="22"/>
        </w:rPr>
        <w:t xml:space="preserve"> “La veracidad y oportunidad de este comunicado de Hecho Relevante es responsabilidad del Banco Popular y de Desarrollo Comunal y no de la Superintendencia General de Valores”</w:t>
      </w:r>
    </w:p>
    <w:p w:rsidR="00BC3E53" w:rsidRPr="00D0462C" w:rsidRDefault="00BC3E53" w:rsidP="00BC3E53">
      <w:pPr>
        <w:tabs>
          <w:tab w:val="left" w:pos="567"/>
          <w:tab w:val="left" w:pos="4536"/>
        </w:tabs>
        <w:ind w:right="51"/>
        <w:jc w:val="both"/>
        <w:rPr>
          <w:rFonts w:ascii="Arial" w:hAnsi="Arial" w:cs="Arial"/>
          <w:sz w:val="22"/>
          <w:szCs w:val="22"/>
        </w:rPr>
      </w:pPr>
    </w:p>
    <w:p w:rsidR="00BC3E53" w:rsidRPr="00D0462C" w:rsidRDefault="00BC3E53" w:rsidP="00BC3E53">
      <w:pPr>
        <w:tabs>
          <w:tab w:val="left" w:pos="567"/>
          <w:tab w:val="left" w:pos="4536"/>
        </w:tabs>
        <w:ind w:right="51"/>
        <w:jc w:val="both"/>
        <w:rPr>
          <w:rFonts w:ascii="Arial" w:hAnsi="Arial" w:cs="Arial"/>
          <w:sz w:val="22"/>
          <w:szCs w:val="22"/>
        </w:rPr>
      </w:pPr>
      <w:r w:rsidRPr="00D0462C">
        <w:rPr>
          <w:rFonts w:ascii="Arial" w:hAnsi="Arial" w:cs="Arial"/>
          <w:sz w:val="22"/>
          <w:szCs w:val="22"/>
        </w:rPr>
        <w:t>Quedo en la mejor disposición de atender cualquier consulta.</w:t>
      </w:r>
    </w:p>
    <w:p w:rsidR="00BC3E53" w:rsidRPr="00D0462C" w:rsidRDefault="00BC3E53" w:rsidP="00BC3E53">
      <w:pPr>
        <w:tabs>
          <w:tab w:val="left" w:pos="567"/>
          <w:tab w:val="left" w:pos="4536"/>
        </w:tabs>
        <w:ind w:right="51"/>
        <w:jc w:val="both"/>
        <w:rPr>
          <w:rFonts w:ascii="Arial" w:hAnsi="Arial" w:cs="Arial"/>
          <w:sz w:val="22"/>
          <w:szCs w:val="22"/>
        </w:rPr>
      </w:pPr>
    </w:p>
    <w:p w:rsidR="00BC3E53" w:rsidRPr="00E47BFF" w:rsidRDefault="00BC3E53" w:rsidP="00BC3E53">
      <w:pPr>
        <w:ind w:right="51"/>
        <w:jc w:val="both"/>
        <w:rPr>
          <w:rFonts w:ascii="Arial" w:hAnsi="Arial" w:cs="Arial"/>
          <w:sz w:val="22"/>
          <w:szCs w:val="22"/>
          <w:lang w:val="es-CR"/>
        </w:rPr>
      </w:pPr>
      <w:r w:rsidRPr="00D0462C">
        <w:rPr>
          <w:rFonts w:ascii="Arial" w:hAnsi="Arial" w:cs="Arial"/>
          <w:sz w:val="22"/>
          <w:szCs w:val="22"/>
          <w:lang w:val="es-CR"/>
        </w:rPr>
        <w:t>Atentamente,</w:t>
      </w:r>
    </w:p>
    <w:p w:rsidR="002A29E7" w:rsidRDefault="002A29E7" w:rsidP="00BC3E53">
      <w:pPr>
        <w:ind w:right="51"/>
        <w:jc w:val="both"/>
        <w:rPr>
          <w:rFonts w:ascii="Arial" w:hAnsi="Arial" w:cs="Arial"/>
          <w:color w:val="000000"/>
          <w:sz w:val="22"/>
          <w:szCs w:val="22"/>
        </w:rPr>
      </w:pPr>
    </w:p>
    <w:p w:rsidR="00B842C4" w:rsidRDefault="00B842C4" w:rsidP="00BC3E53">
      <w:pPr>
        <w:ind w:right="51"/>
        <w:jc w:val="both"/>
        <w:rPr>
          <w:rFonts w:ascii="Arial" w:hAnsi="Arial" w:cs="Arial"/>
          <w:color w:val="000000"/>
          <w:sz w:val="22"/>
          <w:szCs w:val="22"/>
        </w:rPr>
      </w:pPr>
    </w:p>
    <w:p w:rsidR="00161D96" w:rsidRDefault="00161D96" w:rsidP="00BC3E53">
      <w:pPr>
        <w:ind w:right="51"/>
        <w:jc w:val="both"/>
        <w:rPr>
          <w:rFonts w:ascii="Arial" w:hAnsi="Arial" w:cs="Arial"/>
          <w:color w:val="000000"/>
          <w:sz w:val="22"/>
          <w:szCs w:val="22"/>
        </w:rPr>
      </w:pPr>
    </w:p>
    <w:p w:rsidR="008A334B" w:rsidRPr="00A67FDB" w:rsidRDefault="008A334B" w:rsidP="008A334B">
      <w:pPr>
        <w:spacing w:line="276" w:lineRule="auto"/>
        <w:ind w:right="51"/>
        <w:jc w:val="both"/>
        <w:rPr>
          <w:rFonts w:ascii="Arial" w:hAnsi="Arial" w:cs="Arial"/>
          <w:color w:val="000000"/>
          <w:sz w:val="22"/>
          <w:szCs w:val="22"/>
        </w:rPr>
      </w:pPr>
      <w:r w:rsidRPr="00A67FDB">
        <w:rPr>
          <w:rFonts w:ascii="Arial" w:hAnsi="Arial" w:cs="Arial"/>
          <w:color w:val="000000"/>
          <w:sz w:val="22"/>
          <w:szCs w:val="22"/>
        </w:rPr>
        <w:t>Lic. Juan Carlos Li Guzmán</w:t>
      </w:r>
    </w:p>
    <w:p w:rsidR="0081730F" w:rsidRPr="00A67FDB" w:rsidRDefault="008A334B" w:rsidP="008A334B">
      <w:pPr>
        <w:spacing w:line="276" w:lineRule="auto"/>
        <w:ind w:right="5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67FDB">
        <w:rPr>
          <w:rFonts w:ascii="Arial" w:hAnsi="Arial" w:cs="Arial"/>
          <w:b/>
          <w:color w:val="000000"/>
          <w:sz w:val="22"/>
          <w:szCs w:val="22"/>
        </w:rPr>
        <w:t>Subgerente General de Negocios</w:t>
      </w:r>
    </w:p>
    <w:p w:rsidR="00BC3E53" w:rsidRPr="0081730F" w:rsidRDefault="00FD7E2C" w:rsidP="00BC3E53">
      <w:pPr>
        <w:ind w:right="51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  <w:lang w:val="es-NI" w:eastAsia="es-NI"/>
        </w:rPr>
        <w:drawing>
          <wp:inline distT="0" distB="0" distL="0" distR="0">
            <wp:extent cx="2506345" cy="386715"/>
            <wp:effectExtent l="0" t="0" r="8255" b="0"/>
            <wp:docPr id="6" name="Imagen 6" descr="firma dig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rma digita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E53" w:rsidRPr="00153AA2" w:rsidRDefault="00BC3E53" w:rsidP="00BC3E53">
      <w:pPr>
        <w:ind w:right="51"/>
        <w:jc w:val="both"/>
        <w:rPr>
          <w:rFonts w:ascii="Arial" w:hAnsi="Arial" w:cs="Arial"/>
          <w:sz w:val="14"/>
          <w:szCs w:val="24"/>
        </w:rPr>
      </w:pPr>
      <w:r w:rsidRPr="00153AA2">
        <w:rPr>
          <w:rFonts w:ascii="Arial" w:hAnsi="Arial" w:cs="Arial"/>
          <w:sz w:val="14"/>
          <w:szCs w:val="24"/>
        </w:rPr>
        <w:t>C/</w:t>
      </w:r>
      <w:r>
        <w:rPr>
          <w:rFonts w:ascii="Arial" w:hAnsi="Arial" w:cs="Arial"/>
          <w:sz w:val="14"/>
          <w:szCs w:val="24"/>
        </w:rPr>
        <w:t xml:space="preserve">  </w:t>
      </w:r>
      <w:r w:rsidRPr="00153AA2">
        <w:rPr>
          <w:rFonts w:ascii="Arial" w:hAnsi="Arial" w:cs="Arial"/>
          <w:sz w:val="14"/>
          <w:szCs w:val="24"/>
        </w:rPr>
        <w:t xml:space="preserve">Máster José Rafael Brenes Vega, </w:t>
      </w:r>
      <w:r w:rsidRPr="00153AA2">
        <w:rPr>
          <w:rFonts w:ascii="Arial" w:hAnsi="Arial" w:cs="Arial"/>
          <w:b/>
          <w:sz w:val="14"/>
          <w:szCs w:val="24"/>
        </w:rPr>
        <w:t>Gerente General</w:t>
      </w:r>
    </w:p>
    <w:p w:rsidR="00BC3E53" w:rsidRPr="0081730F" w:rsidRDefault="00BC3E53" w:rsidP="00BC3E53">
      <w:pPr>
        <w:ind w:right="51"/>
        <w:jc w:val="both"/>
        <w:rPr>
          <w:rFonts w:ascii="Arial" w:hAnsi="Arial" w:cs="Arial"/>
          <w:b/>
          <w:sz w:val="14"/>
          <w:szCs w:val="24"/>
        </w:rPr>
      </w:pPr>
      <w:r>
        <w:rPr>
          <w:rFonts w:ascii="Arial" w:hAnsi="Arial" w:cs="Arial"/>
          <w:b/>
          <w:sz w:val="14"/>
          <w:szCs w:val="24"/>
        </w:rPr>
        <w:t xml:space="preserve">     </w:t>
      </w:r>
      <w:r w:rsidRPr="00153AA2">
        <w:rPr>
          <w:rFonts w:ascii="Arial" w:hAnsi="Arial" w:cs="Arial"/>
          <w:b/>
          <w:sz w:val="14"/>
          <w:szCs w:val="24"/>
        </w:rPr>
        <w:t>Bolsa Nacional de Valores, S.A.</w:t>
      </w:r>
    </w:p>
    <w:p w:rsidR="00BC3E53" w:rsidRPr="00153AA2" w:rsidRDefault="00BC3E53" w:rsidP="00BC3E53">
      <w:pPr>
        <w:ind w:right="51"/>
        <w:jc w:val="both"/>
        <w:rPr>
          <w:rFonts w:ascii="Arial" w:hAnsi="Arial" w:cs="Arial"/>
          <w:sz w:val="14"/>
          <w:szCs w:val="24"/>
        </w:rPr>
      </w:pPr>
    </w:p>
    <w:p w:rsidR="00BC3E53" w:rsidRPr="00BC3E53" w:rsidRDefault="00BC3E53" w:rsidP="00BC3E53">
      <w:pPr>
        <w:ind w:right="51"/>
        <w:jc w:val="both"/>
        <w:rPr>
          <w:rFonts w:ascii="Arial" w:hAnsi="Arial" w:cs="Arial"/>
          <w:sz w:val="14"/>
          <w:szCs w:val="24"/>
        </w:rPr>
      </w:pPr>
      <w:r w:rsidRPr="00BC3E53">
        <w:rPr>
          <w:rFonts w:ascii="Arial" w:hAnsi="Arial" w:cs="Arial"/>
          <w:sz w:val="14"/>
          <w:szCs w:val="24"/>
        </w:rPr>
        <w:t xml:space="preserve">     Máster Juan Francisco Rodriguez Hernández. </w:t>
      </w:r>
      <w:r w:rsidRPr="00BC3E53">
        <w:rPr>
          <w:rFonts w:ascii="Arial" w:hAnsi="Arial" w:cs="Arial"/>
          <w:b/>
          <w:sz w:val="14"/>
          <w:szCs w:val="24"/>
        </w:rPr>
        <w:t>Gerente General</w:t>
      </w:r>
      <w:r w:rsidRPr="00BC3E53">
        <w:rPr>
          <w:rFonts w:ascii="Arial" w:hAnsi="Arial" w:cs="Arial"/>
          <w:sz w:val="14"/>
          <w:szCs w:val="24"/>
        </w:rPr>
        <w:t xml:space="preserve">  </w:t>
      </w:r>
    </w:p>
    <w:p w:rsidR="00BC3E53" w:rsidRDefault="00BC3E53" w:rsidP="00BC3E53">
      <w:pPr>
        <w:ind w:right="51"/>
        <w:jc w:val="both"/>
        <w:rPr>
          <w:rFonts w:ascii="Arial" w:hAnsi="Arial" w:cs="Arial"/>
          <w:b/>
          <w:sz w:val="14"/>
          <w:szCs w:val="24"/>
        </w:rPr>
      </w:pPr>
      <w:r>
        <w:rPr>
          <w:rFonts w:ascii="Arial" w:hAnsi="Arial" w:cs="Arial"/>
          <w:b/>
          <w:sz w:val="14"/>
          <w:szCs w:val="24"/>
        </w:rPr>
        <w:t xml:space="preserve">     </w:t>
      </w:r>
      <w:r w:rsidRPr="00153AA2">
        <w:rPr>
          <w:rFonts w:ascii="Arial" w:hAnsi="Arial" w:cs="Arial"/>
          <w:b/>
          <w:sz w:val="14"/>
          <w:szCs w:val="24"/>
        </w:rPr>
        <w:t>Popular Valores, Puesto de Bolsa, S.A.</w:t>
      </w:r>
    </w:p>
    <w:p w:rsidR="00BC3E53" w:rsidRPr="00153AA2" w:rsidRDefault="00BC3E53" w:rsidP="00BC3E53">
      <w:pPr>
        <w:ind w:right="51"/>
        <w:jc w:val="both"/>
        <w:rPr>
          <w:rFonts w:ascii="Arial" w:hAnsi="Arial" w:cs="Arial"/>
          <w:b/>
          <w:sz w:val="14"/>
          <w:szCs w:val="24"/>
          <w:highlight w:val="yellow"/>
        </w:rPr>
      </w:pPr>
    </w:p>
    <w:p w:rsidR="00C52892" w:rsidRDefault="00C52892" w:rsidP="00C52892">
      <w:pPr>
        <w:ind w:right="51"/>
        <w:jc w:val="both"/>
        <w:rPr>
          <w:rFonts w:ascii="Arial" w:hAnsi="Arial" w:cs="Arial"/>
          <w:b/>
          <w:sz w:val="14"/>
          <w:szCs w:val="24"/>
        </w:rPr>
      </w:pPr>
      <w:r>
        <w:rPr>
          <w:rFonts w:ascii="Arial" w:hAnsi="Arial" w:cs="Arial"/>
          <w:sz w:val="14"/>
          <w:szCs w:val="24"/>
        </w:rPr>
        <w:t xml:space="preserve">    </w:t>
      </w:r>
      <w:r w:rsidRPr="00A92C30">
        <w:rPr>
          <w:rFonts w:ascii="Arial" w:hAnsi="Arial" w:cs="Arial"/>
          <w:sz w:val="14"/>
          <w:szCs w:val="24"/>
        </w:rPr>
        <w:t>Renato Montero Gamboa</w:t>
      </w:r>
      <w:r>
        <w:rPr>
          <w:rFonts w:ascii="Arial" w:hAnsi="Arial" w:cs="Arial"/>
          <w:sz w:val="14"/>
          <w:szCs w:val="24"/>
        </w:rPr>
        <w:t xml:space="preserve">. </w:t>
      </w:r>
      <w:r>
        <w:rPr>
          <w:rFonts w:ascii="Arial" w:hAnsi="Arial" w:cs="Arial"/>
          <w:b/>
          <w:sz w:val="14"/>
          <w:szCs w:val="24"/>
        </w:rPr>
        <w:t>Coordinador</w:t>
      </w:r>
    </w:p>
    <w:p w:rsidR="00C52892" w:rsidRPr="00A92C30" w:rsidRDefault="00C52892" w:rsidP="00C52892">
      <w:pPr>
        <w:ind w:right="51"/>
        <w:jc w:val="both"/>
        <w:rPr>
          <w:rFonts w:ascii="Arial" w:hAnsi="Arial" w:cs="Arial"/>
          <w:b/>
          <w:sz w:val="14"/>
          <w:szCs w:val="24"/>
        </w:rPr>
      </w:pPr>
      <w:r>
        <w:rPr>
          <w:rFonts w:ascii="Arial" w:hAnsi="Arial" w:cs="Arial"/>
          <w:b/>
          <w:sz w:val="14"/>
          <w:szCs w:val="24"/>
        </w:rPr>
        <w:t xml:space="preserve">    </w:t>
      </w:r>
      <w:r w:rsidRPr="00A92C30">
        <w:rPr>
          <w:rFonts w:ascii="Arial" w:hAnsi="Arial" w:cs="Arial"/>
          <w:b/>
          <w:sz w:val="14"/>
          <w:szCs w:val="24"/>
        </w:rPr>
        <w:t>Proceso de Pagos y Transferencias</w:t>
      </w:r>
    </w:p>
    <w:p w:rsidR="00C52892" w:rsidRDefault="00C52892" w:rsidP="00C52892">
      <w:pPr>
        <w:jc w:val="both"/>
        <w:rPr>
          <w:rFonts w:ascii="Arial" w:hAnsi="Arial" w:cs="Arial"/>
          <w:b/>
          <w:sz w:val="14"/>
          <w:szCs w:val="24"/>
        </w:rPr>
      </w:pPr>
      <w:r>
        <w:rPr>
          <w:rFonts w:ascii="Arial" w:hAnsi="Arial" w:cs="Arial"/>
          <w:b/>
          <w:bCs/>
          <w:sz w:val="12"/>
          <w:szCs w:val="12"/>
        </w:rPr>
        <w:t xml:space="preserve">     </w:t>
      </w:r>
      <w:r w:rsidRPr="00A92C30">
        <w:rPr>
          <w:rFonts w:ascii="Arial" w:hAnsi="Arial" w:cs="Arial"/>
          <w:b/>
          <w:sz w:val="14"/>
          <w:szCs w:val="24"/>
        </w:rPr>
        <w:t>Departamento de Tesorería, División Sistemas de Pago</w:t>
      </w:r>
      <w:r>
        <w:rPr>
          <w:rFonts w:ascii="Arial" w:hAnsi="Arial" w:cs="Arial"/>
          <w:b/>
          <w:sz w:val="14"/>
          <w:szCs w:val="24"/>
        </w:rPr>
        <w:t>. BCCR</w:t>
      </w:r>
    </w:p>
    <w:p w:rsidR="00BC3E53" w:rsidRDefault="00BC3E53" w:rsidP="00F66E35">
      <w:pPr>
        <w:ind w:right="51"/>
        <w:jc w:val="both"/>
        <w:rPr>
          <w:rFonts w:ascii="Arial" w:hAnsi="Arial" w:cs="Arial"/>
          <w:b/>
          <w:sz w:val="14"/>
          <w:szCs w:val="24"/>
        </w:rPr>
      </w:pPr>
    </w:p>
    <w:p w:rsidR="00D0462C" w:rsidRDefault="00D0462C" w:rsidP="005158C4">
      <w:pPr>
        <w:jc w:val="both"/>
        <w:rPr>
          <w:rFonts w:ascii="Arial" w:hAnsi="Arial" w:cs="Arial"/>
          <w:b/>
          <w:bCs/>
          <w:sz w:val="12"/>
          <w:szCs w:val="12"/>
        </w:rPr>
      </w:pPr>
    </w:p>
    <w:p w:rsidR="003F6252" w:rsidRPr="005158C4" w:rsidRDefault="00A67FDB" w:rsidP="005158C4">
      <w:pPr>
        <w:jc w:val="both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sz w:val="12"/>
          <w:szCs w:val="12"/>
        </w:rPr>
        <w:t>T. Brenes</w:t>
      </w:r>
    </w:p>
    <w:sectPr w:rsidR="003F6252" w:rsidRPr="005158C4" w:rsidSect="00C67FA3">
      <w:headerReference w:type="default" r:id="rId16"/>
      <w:footerReference w:type="default" r:id="rId17"/>
      <w:pgSz w:w="12240" w:h="15840" w:code="1"/>
      <w:pgMar w:top="1999" w:right="1418" w:bottom="899" w:left="1418" w:header="720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28B" w:rsidRDefault="0052228B">
      <w:r>
        <w:separator/>
      </w:r>
    </w:p>
  </w:endnote>
  <w:endnote w:type="continuationSeparator" w:id="0">
    <w:p w:rsidR="0052228B" w:rsidRDefault="00522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FDB" w:rsidRPr="00303857" w:rsidRDefault="00A67FDB" w:rsidP="00A67FDB">
    <w:pPr>
      <w:pStyle w:val="Piedepgina"/>
      <w:pBdr>
        <w:top w:val="single" w:sz="4" w:space="1" w:color="auto"/>
      </w:pBdr>
      <w:rPr>
        <w:rFonts w:ascii="Arial" w:hAnsi="Arial" w:cs="Arial"/>
        <w:lang w:val="es-CR"/>
      </w:rPr>
    </w:pPr>
    <w:r w:rsidRPr="00FA07F4">
      <w:rPr>
        <w:rFonts w:ascii="Arial" w:hAnsi="Arial" w:cs="Arial"/>
        <w:b/>
        <w:sz w:val="16"/>
        <w:szCs w:val="22"/>
      </w:rPr>
      <w:t xml:space="preserve">INFORMACIÓN </w:t>
    </w:r>
    <w:r w:rsidR="000F2439">
      <w:rPr>
        <w:rFonts w:ascii="Arial" w:hAnsi="Arial" w:cs="Arial"/>
        <w:b/>
        <w:sz w:val="16"/>
        <w:szCs w:val="22"/>
      </w:rPr>
      <w:t>DE USO PÚBLICO</w:t>
    </w:r>
    <w:r w:rsidRPr="00FA07F4">
      <w:rPr>
        <w:rFonts w:ascii="Arial" w:hAnsi="Arial" w:cs="Arial"/>
        <w:b/>
        <w:sz w:val="16"/>
        <w:szCs w:val="22"/>
      </w:rPr>
      <w:t xml:space="preserve">  </w:t>
    </w:r>
  </w:p>
  <w:p w:rsidR="00A67FDB" w:rsidRDefault="00A67FDB" w:rsidP="00A67FDB">
    <w:pPr>
      <w:jc w:val="both"/>
      <w:rPr>
        <w:rFonts w:ascii="Arial" w:hAnsi="Arial" w:cs="Arial"/>
        <w:sz w:val="22"/>
        <w:szCs w:val="22"/>
      </w:rPr>
    </w:pPr>
    <w:r w:rsidRPr="00367188">
      <w:rPr>
        <w:rFonts w:ascii="Arial" w:hAnsi="Arial" w:cs="Arial"/>
        <w:sz w:val="16"/>
        <w:szCs w:val="22"/>
      </w:rPr>
      <w:t>La información contenida en este documento es confidencial y sólo puede ser utilizada por la persona o la organización a la cual está dirigida o autorizada por el área administrativa correspondiente del Conglomerado Banco Popular.</w:t>
    </w:r>
  </w:p>
  <w:p w:rsidR="0049400C" w:rsidRDefault="0049400C" w:rsidP="00A67FDB">
    <w:pPr>
      <w:jc w:val="center"/>
      <w:rPr>
        <w:lang w:val="es-ES"/>
      </w:rPr>
    </w:pPr>
  </w:p>
  <w:p w:rsidR="00E52D81" w:rsidRPr="0049400C" w:rsidRDefault="0049400C" w:rsidP="0049400C">
    <w:pPr>
      <w:jc w:val="right"/>
      <w:rPr>
        <w:lang w:val="es-ES"/>
      </w:rPr>
    </w:pPr>
    <w:r>
      <w:rPr>
        <w:lang w:val="es-ES"/>
      </w:rPr>
      <w:t xml:space="preserve">Pág </w:t>
    </w:r>
    <w:r>
      <w:rPr>
        <w:lang w:val="es-ES"/>
      </w:rPr>
      <w:fldChar w:fldCharType="begin"/>
    </w:r>
    <w:r>
      <w:rPr>
        <w:lang w:val="es-ES"/>
      </w:rPr>
      <w:instrText xml:space="preserve"> PAGE </w:instrText>
    </w:r>
    <w:r>
      <w:rPr>
        <w:lang w:val="es-ES"/>
      </w:rPr>
      <w:fldChar w:fldCharType="separate"/>
    </w:r>
    <w:r w:rsidR="00290A59">
      <w:rPr>
        <w:noProof/>
        <w:lang w:val="es-ES"/>
      </w:rPr>
      <w:t>2</w:t>
    </w:r>
    <w:r>
      <w:rPr>
        <w:lang w:val="es-ES"/>
      </w:rPr>
      <w:fldChar w:fldCharType="end"/>
    </w:r>
    <w:r>
      <w:rPr>
        <w:lang w:val="es-ES"/>
      </w:rPr>
      <w:t xml:space="preserve"> de </w:t>
    </w:r>
    <w:r>
      <w:rPr>
        <w:lang w:val="es-ES"/>
      </w:rPr>
      <w:fldChar w:fldCharType="begin"/>
    </w:r>
    <w:r>
      <w:rPr>
        <w:lang w:val="es-ES"/>
      </w:rPr>
      <w:instrText xml:space="preserve"> NUMPAGES  </w:instrText>
    </w:r>
    <w:r>
      <w:rPr>
        <w:lang w:val="es-ES"/>
      </w:rPr>
      <w:fldChar w:fldCharType="separate"/>
    </w:r>
    <w:r w:rsidR="00290A59">
      <w:rPr>
        <w:noProof/>
        <w:lang w:val="es-ES"/>
      </w:rPr>
      <w:t>3</w:t>
    </w:r>
    <w:r>
      <w:rPr>
        <w:lang w:val="es-ES"/>
      </w:rPr>
      <w:fldChar w:fldCharType="end"/>
    </w:r>
  </w:p>
  <w:p w:rsidR="00D95045" w:rsidRPr="00544639" w:rsidRDefault="00D95045" w:rsidP="00544639">
    <w:pPr>
      <w:pStyle w:val="Piedepgina"/>
      <w:rPr>
        <w:lang w:val="es-C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28B" w:rsidRDefault="0052228B">
      <w:r>
        <w:separator/>
      </w:r>
    </w:p>
  </w:footnote>
  <w:footnote w:type="continuationSeparator" w:id="0">
    <w:p w:rsidR="0052228B" w:rsidRDefault="00522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045" w:rsidRDefault="00FD7E2C" w:rsidP="008B2C2E">
    <w:pPr>
      <w:pStyle w:val="Encabezado"/>
      <w:jc w:val="center"/>
      <w:rPr>
        <w:sz w:val="36"/>
      </w:rPr>
    </w:pPr>
    <w:r>
      <w:rPr>
        <w:noProof/>
        <w:lang w:val="es-NI" w:eastAsia="es-NI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0345300" wp14:editId="0261196B">
              <wp:simplePos x="0" y="0"/>
              <wp:positionH relativeFrom="page">
                <wp:posOffset>7062470</wp:posOffset>
              </wp:positionH>
              <wp:positionV relativeFrom="page">
                <wp:posOffset>7304405</wp:posOffset>
              </wp:positionV>
              <wp:extent cx="519430" cy="2183130"/>
              <wp:effectExtent l="0" t="0" r="0" b="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8C4" w:rsidRPr="005158C4" w:rsidRDefault="005158C4">
                          <w:pPr>
                            <w:pStyle w:val="Piedepgin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345300" id="Rectángulo 3" o:spid="_x0000_s1026" style="position:absolute;left:0;text-align:left;margin-left:556.1pt;margin-top:575.15pt;width:40.9pt;height:171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" o:allowincell="f" filled="f" stroked="f">
              <v:textbox style="layout-flow:vertical;mso-layout-flow-alt:bottom-to-top;mso-fit-shape-to-text:t">
                <w:txbxContent>
                  <w:p w:rsidR="005158C4" w:rsidRPr="005158C4" w:rsidRDefault="005158C4">
                    <w:pPr>
                      <w:pStyle w:val="Piedepgina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:rsidR="002B4194" w:rsidRPr="00761693" w:rsidRDefault="002B4194" w:rsidP="002B4194">
    <w:pPr>
      <w:jc w:val="right"/>
      <w:rPr>
        <w:rFonts w:ascii="Arial" w:hAnsi="Arial" w:cs="Arial"/>
        <w:b/>
        <w:color w:val="A6A6A6"/>
        <w:sz w:val="32"/>
        <w:szCs w:val="28"/>
        <w:lang w:val="es-CR"/>
      </w:rPr>
    </w:pPr>
    <w:r>
      <w:rPr>
        <w:rFonts w:ascii="Arial" w:hAnsi="Arial"/>
      </w:rPr>
      <w:t xml:space="preserve">                                                       </w:t>
    </w:r>
    <w:r w:rsidR="000F2439">
      <w:rPr>
        <w:rFonts w:ascii="Arial" w:hAnsi="Arial" w:cs="Arial"/>
        <w:b/>
        <w:color w:val="A6A6A6"/>
        <w:sz w:val="32"/>
        <w:szCs w:val="28"/>
        <w:lang w:val="es-CR"/>
      </w:rPr>
      <w:t>CBP-A1</w:t>
    </w:r>
  </w:p>
  <w:p w:rsidR="0049400C" w:rsidRPr="002B4194" w:rsidRDefault="002B4194" w:rsidP="002B4194">
    <w:pPr>
      <w:pStyle w:val="Encabezado"/>
      <w:jc w:val="center"/>
      <w:rPr>
        <w:rFonts w:ascii="Arial" w:hAnsi="Arial"/>
      </w:rPr>
    </w:pPr>
    <w:r w:rsidRPr="002B379A">
      <w:rPr>
        <w:rFonts w:ascii="Arial" w:hAnsi="Arial"/>
        <w:noProof/>
        <w:lang w:val="es-NI" w:eastAsia="es-NI"/>
      </w:rPr>
      <w:drawing>
        <wp:inline distT="0" distB="0" distL="0" distR="0" wp14:anchorId="6218DF5B" wp14:editId="6F3D9CD2">
          <wp:extent cx="5838825" cy="819150"/>
          <wp:effectExtent l="0" t="0" r="9525" b="0"/>
          <wp:docPr id="13" name="Imagen 13" descr="cintill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ntillo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400C" w:rsidRDefault="0049400C" w:rsidP="0049400C">
    <w:pPr>
      <w:pStyle w:val="Encabezado"/>
      <w:jc w:val="center"/>
      <w:rPr>
        <w:rFonts w:ascii="Arial" w:hAnsi="Arial"/>
        <w:lang w:val="es-CR"/>
      </w:rPr>
    </w:pPr>
  </w:p>
  <w:p w:rsidR="0049400C" w:rsidRPr="00821DA2" w:rsidRDefault="0049400C" w:rsidP="0049400C">
    <w:pPr>
      <w:rPr>
        <w:rFonts w:ascii="Arial" w:hAnsi="Arial" w:cs="Arial"/>
        <w:sz w:val="22"/>
        <w:szCs w:val="22"/>
      </w:rPr>
    </w:pPr>
    <w:r>
      <w:rPr>
        <w:rFonts w:ascii="Arial" w:hAnsi="Arial"/>
        <w:noProof/>
        <w:lang w:val="es-NI" w:eastAsia="es-NI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B61150" wp14:editId="48C2E8A1">
              <wp:simplePos x="0" y="0"/>
              <wp:positionH relativeFrom="column">
                <wp:posOffset>-250190</wp:posOffset>
              </wp:positionH>
              <wp:positionV relativeFrom="paragraph">
                <wp:posOffset>15875</wp:posOffset>
              </wp:positionV>
              <wp:extent cx="6899275" cy="0"/>
              <wp:effectExtent l="35560" t="34925" r="37465" b="3175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99275" cy="0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E36C0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CA78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9.7pt;margin-top:1.25pt;width:543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" strokecolor="#e36c0a" strokeweight="4.5pt"/>
          </w:pict>
        </mc:Fallback>
      </mc:AlternateContent>
    </w:r>
  </w:p>
  <w:p w:rsidR="0049400C" w:rsidRPr="008F1F4D" w:rsidRDefault="0049400C" w:rsidP="0049400C">
    <w:pPr>
      <w:jc w:val="center"/>
      <w:rPr>
        <w:rFonts w:asciiTheme="majorHAnsi" w:hAnsiTheme="majorHAnsi" w:cs="Arial"/>
        <w:b/>
        <w:sz w:val="36"/>
        <w:szCs w:val="36"/>
        <w:lang w:val="es-CR"/>
      </w:rPr>
    </w:pPr>
    <w:r w:rsidRPr="008F1F4D">
      <w:rPr>
        <w:rFonts w:asciiTheme="majorHAnsi" w:hAnsiTheme="majorHAnsi" w:cs="Arial"/>
        <w:b/>
        <w:sz w:val="36"/>
        <w:szCs w:val="36"/>
        <w:lang w:val="es-CR"/>
      </w:rPr>
      <w:t xml:space="preserve">Subgerencia General de </w:t>
    </w:r>
    <w:r w:rsidR="00F66E35">
      <w:rPr>
        <w:rFonts w:asciiTheme="majorHAnsi" w:hAnsiTheme="majorHAnsi" w:cs="Arial"/>
        <w:b/>
        <w:sz w:val="36"/>
        <w:szCs w:val="36"/>
        <w:lang w:val="es-CR"/>
      </w:rPr>
      <w:t>Negocios</w:t>
    </w:r>
  </w:p>
  <w:p w:rsidR="0049400C" w:rsidRDefault="0049400C" w:rsidP="0049400C">
    <w:pPr>
      <w:spacing w:line="276" w:lineRule="auto"/>
      <w:jc w:val="both"/>
      <w:outlineLvl w:val="0"/>
      <w:rPr>
        <w:rFonts w:ascii="Arial" w:hAnsi="Arial" w:cs="Arial"/>
        <w:sz w:val="24"/>
        <w:szCs w:val="24"/>
      </w:rPr>
    </w:pPr>
  </w:p>
  <w:p w:rsidR="0049400C" w:rsidRPr="00A67FDB" w:rsidRDefault="00144FE6" w:rsidP="0049400C">
    <w:pPr>
      <w:spacing w:line="276" w:lineRule="auto"/>
      <w:jc w:val="both"/>
      <w:outlineLvl w:val="0"/>
      <w:rPr>
        <w:rFonts w:ascii="Arial" w:hAnsi="Arial" w:cs="Arial"/>
        <w:sz w:val="22"/>
        <w:szCs w:val="22"/>
      </w:rPr>
    </w:pPr>
    <w:r w:rsidRPr="00A67FDB">
      <w:rPr>
        <w:rFonts w:ascii="Arial" w:hAnsi="Arial" w:cs="Arial"/>
        <w:sz w:val="22"/>
        <w:szCs w:val="22"/>
      </w:rPr>
      <w:t>05 de julio</w:t>
    </w:r>
    <w:r w:rsidR="006F63BE" w:rsidRPr="00A67FDB">
      <w:rPr>
        <w:rFonts w:ascii="Arial" w:hAnsi="Arial" w:cs="Arial"/>
        <w:sz w:val="22"/>
        <w:szCs w:val="22"/>
      </w:rPr>
      <w:t xml:space="preserve"> del 2016</w:t>
    </w:r>
  </w:p>
  <w:p w:rsidR="00D95045" w:rsidRPr="00A67FDB" w:rsidRDefault="00144FE6" w:rsidP="0049400C">
    <w:pPr>
      <w:spacing w:line="276" w:lineRule="auto"/>
      <w:jc w:val="both"/>
      <w:outlineLvl w:val="0"/>
      <w:rPr>
        <w:rFonts w:ascii="Arial" w:hAnsi="Arial" w:cs="Arial"/>
        <w:b/>
        <w:sz w:val="22"/>
        <w:szCs w:val="22"/>
      </w:rPr>
    </w:pPr>
    <w:r w:rsidRPr="00A67FDB">
      <w:rPr>
        <w:rFonts w:ascii="Arial" w:hAnsi="Arial" w:cs="Arial"/>
        <w:b/>
        <w:sz w:val="22"/>
        <w:szCs w:val="22"/>
      </w:rPr>
      <w:t>SGN</w:t>
    </w:r>
    <w:r w:rsidR="0049400C" w:rsidRPr="00A67FDB">
      <w:rPr>
        <w:rFonts w:ascii="Arial" w:hAnsi="Arial" w:cs="Arial"/>
        <w:b/>
        <w:sz w:val="22"/>
        <w:szCs w:val="22"/>
      </w:rPr>
      <w:t>-</w:t>
    </w:r>
    <w:r w:rsidR="00A67FDB" w:rsidRPr="00A67FDB">
      <w:rPr>
        <w:rFonts w:ascii="Arial" w:hAnsi="Arial" w:cs="Arial"/>
        <w:b/>
        <w:sz w:val="22"/>
        <w:szCs w:val="22"/>
      </w:rPr>
      <w:t>6</w:t>
    </w:r>
    <w:r w:rsidR="005B174B">
      <w:rPr>
        <w:rFonts w:ascii="Arial" w:hAnsi="Arial" w:cs="Arial"/>
        <w:b/>
        <w:sz w:val="22"/>
        <w:szCs w:val="22"/>
      </w:rPr>
      <w:t>70</w:t>
    </w:r>
    <w:r w:rsidR="0049400C" w:rsidRPr="00A67FDB">
      <w:rPr>
        <w:rFonts w:ascii="Arial" w:hAnsi="Arial" w:cs="Arial"/>
        <w:b/>
        <w:sz w:val="22"/>
        <w:szCs w:val="22"/>
      </w:rPr>
      <w:t>-201</w:t>
    </w:r>
    <w:r w:rsidR="006F63BE" w:rsidRPr="00A67FDB">
      <w:rPr>
        <w:rFonts w:ascii="Arial" w:hAnsi="Arial" w:cs="Arial"/>
        <w:b/>
        <w:sz w:val="22"/>
        <w:szCs w:val="22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95E57"/>
    <w:multiLevelType w:val="hybridMultilevel"/>
    <w:tmpl w:val="E2A8E42A"/>
    <w:lvl w:ilvl="0" w:tplc="CE2641D4">
      <w:start w:val="1"/>
      <w:numFmt w:val="decimal"/>
      <w:lvlText w:val="%1"/>
      <w:lvlJc w:val="left"/>
      <w:pPr>
        <w:ind w:left="-66" w:hanging="360"/>
      </w:pPr>
      <w:rPr>
        <w:rFonts w:ascii="Arial" w:eastAsia="Times New Roman" w:hAnsi="Arial" w:cs="Arial"/>
        <w:sz w:val="14"/>
        <w:szCs w:val="14"/>
        <w:vertAlign w:val="superscript"/>
      </w:rPr>
    </w:lvl>
    <w:lvl w:ilvl="1" w:tplc="140A0019" w:tentative="1">
      <w:start w:val="1"/>
      <w:numFmt w:val="lowerLetter"/>
      <w:lvlText w:val="%2."/>
      <w:lvlJc w:val="left"/>
      <w:pPr>
        <w:ind w:left="654" w:hanging="360"/>
      </w:pPr>
    </w:lvl>
    <w:lvl w:ilvl="2" w:tplc="140A001B" w:tentative="1">
      <w:start w:val="1"/>
      <w:numFmt w:val="lowerRoman"/>
      <w:lvlText w:val="%3."/>
      <w:lvlJc w:val="right"/>
      <w:pPr>
        <w:ind w:left="1374" w:hanging="180"/>
      </w:pPr>
    </w:lvl>
    <w:lvl w:ilvl="3" w:tplc="140A000F" w:tentative="1">
      <w:start w:val="1"/>
      <w:numFmt w:val="decimal"/>
      <w:lvlText w:val="%4."/>
      <w:lvlJc w:val="left"/>
      <w:pPr>
        <w:ind w:left="2094" w:hanging="360"/>
      </w:pPr>
    </w:lvl>
    <w:lvl w:ilvl="4" w:tplc="140A0019" w:tentative="1">
      <w:start w:val="1"/>
      <w:numFmt w:val="lowerLetter"/>
      <w:lvlText w:val="%5."/>
      <w:lvlJc w:val="left"/>
      <w:pPr>
        <w:ind w:left="2814" w:hanging="360"/>
      </w:pPr>
    </w:lvl>
    <w:lvl w:ilvl="5" w:tplc="140A001B" w:tentative="1">
      <w:start w:val="1"/>
      <w:numFmt w:val="lowerRoman"/>
      <w:lvlText w:val="%6."/>
      <w:lvlJc w:val="right"/>
      <w:pPr>
        <w:ind w:left="3534" w:hanging="180"/>
      </w:pPr>
    </w:lvl>
    <w:lvl w:ilvl="6" w:tplc="140A000F" w:tentative="1">
      <w:start w:val="1"/>
      <w:numFmt w:val="decimal"/>
      <w:lvlText w:val="%7."/>
      <w:lvlJc w:val="left"/>
      <w:pPr>
        <w:ind w:left="4254" w:hanging="360"/>
      </w:pPr>
    </w:lvl>
    <w:lvl w:ilvl="7" w:tplc="140A0019" w:tentative="1">
      <w:start w:val="1"/>
      <w:numFmt w:val="lowerLetter"/>
      <w:lvlText w:val="%8."/>
      <w:lvlJc w:val="left"/>
      <w:pPr>
        <w:ind w:left="4974" w:hanging="360"/>
      </w:pPr>
    </w:lvl>
    <w:lvl w:ilvl="8" w:tplc="14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2C587751"/>
    <w:multiLevelType w:val="hybridMultilevel"/>
    <w:tmpl w:val="458C58E2"/>
    <w:lvl w:ilvl="0" w:tplc="A6D4C612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A27A15"/>
    <w:multiLevelType w:val="hybridMultilevel"/>
    <w:tmpl w:val="C4FC9210"/>
    <w:lvl w:ilvl="0" w:tplc="A02EAEAE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16044"/>
    <w:multiLevelType w:val="hybridMultilevel"/>
    <w:tmpl w:val="3AB0DBFE"/>
    <w:lvl w:ilvl="0" w:tplc="FDC28D0A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118F4"/>
    <w:multiLevelType w:val="hybridMultilevel"/>
    <w:tmpl w:val="26DADFE2"/>
    <w:lvl w:ilvl="0" w:tplc="AC1AE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AC"/>
    <w:rsid w:val="00000FB8"/>
    <w:rsid w:val="0000234D"/>
    <w:rsid w:val="000031F1"/>
    <w:rsid w:val="000034AB"/>
    <w:rsid w:val="00004CDF"/>
    <w:rsid w:val="00010058"/>
    <w:rsid w:val="00011B59"/>
    <w:rsid w:val="00013225"/>
    <w:rsid w:val="000149C9"/>
    <w:rsid w:val="00015CAB"/>
    <w:rsid w:val="00016675"/>
    <w:rsid w:val="00016F54"/>
    <w:rsid w:val="00022157"/>
    <w:rsid w:val="0002217B"/>
    <w:rsid w:val="000225AB"/>
    <w:rsid w:val="000232E9"/>
    <w:rsid w:val="00024EC7"/>
    <w:rsid w:val="00025590"/>
    <w:rsid w:val="00025FF8"/>
    <w:rsid w:val="00026415"/>
    <w:rsid w:val="0003036A"/>
    <w:rsid w:val="00030D13"/>
    <w:rsid w:val="000317D8"/>
    <w:rsid w:val="00032A36"/>
    <w:rsid w:val="00033F04"/>
    <w:rsid w:val="00036577"/>
    <w:rsid w:val="00044646"/>
    <w:rsid w:val="000455D4"/>
    <w:rsid w:val="000460E6"/>
    <w:rsid w:val="00047CF4"/>
    <w:rsid w:val="00050944"/>
    <w:rsid w:val="0005233E"/>
    <w:rsid w:val="000523C9"/>
    <w:rsid w:val="00052B42"/>
    <w:rsid w:val="00052FF8"/>
    <w:rsid w:val="00053B19"/>
    <w:rsid w:val="000558B8"/>
    <w:rsid w:val="0005708D"/>
    <w:rsid w:val="00060072"/>
    <w:rsid w:val="00060924"/>
    <w:rsid w:val="00061F11"/>
    <w:rsid w:val="0006203D"/>
    <w:rsid w:val="000644E2"/>
    <w:rsid w:val="00064919"/>
    <w:rsid w:val="00066C78"/>
    <w:rsid w:val="00066D1F"/>
    <w:rsid w:val="00070656"/>
    <w:rsid w:val="00071C87"/>
    <w:rsid w:val="00072C3A"/>
    <w:rsid w:val="0007314C"/>
    <w:rsid w:val="00073776"/>
    <w:rsid w:val="00074B3F"/>
    <w:rsid w:val="00077671"/>
    <w:rsid w:val="00080C10"/>
    <w:rsid w:val="00081AB2"/>
    <w:rsid w:val="00082C40"/>
    <w:rsid w:val="00083BFD"/>
    <w:rsid w:val="00085471"/>
    <w:rsid w:val="00085553"/>
    <w:rsid w:val="00086885"/>
    <w:rsid w:val="0009032C"/>
    <w:rsid w:val="00090E02"/>
    <w:rsid w:val="00093767"/>
    <w:rsid w:val="00093B11"/>
    <w:rsid w:val="000947CF"/>
    <w:rsid w:val="0009702A"/>
    <w:rsid w:val="000A08BE"/>
    <w:rsid w:val="000A0BB6"/>
    <w:rsid w:val="000A124A"/>
    <w:rsid w:val="000A131F"/>
    <w:rsid w:val="000A2873"/>
    <w:rsid w:val="000A3985"/>
    <w:rsid w:val="000A4306"/>
    <w:rsid w:val="000A50FB"/>
    <w:rsid w:val="000A7AC8"/>
    <w:rsid w:val="000B1953"/>
    <w:rsid w:val="000B1AD5"/>
    <w:rsid w:val="000B5A21"/>
    <w:rsid w:val="000B60CD"/>
    <w:rsid w:val="000B7825"/>
    <w:rsid w:val="000B7AFB"/>
    <w:rsid w:val="000C10E1"/>
    <w:rsid w:val="000C4417"/>
    <w:rsid w:val="000C4F7C"/>
    <w:rsid w:val="000C52F5"/>
    <w:rsid w:val="000C7428"/>
    <w:rsid w:val="000C7F23"/>
    <w:rsid w:val="000D015A"/>
    <w:rsid w:val="000D0252"/>
    <w:rsid w:val="000D1068"/>
    <w:rsid w:val="000D591E"/>
    <w:rsid w:val="000D7D95"/>
    <w:rsid w:val="000E1B11"/>
    <w:rsid w:val="000E1FE2"/>
    <w:rsid w:val="000E2294"/>
    <w:rsid w:val="000E2AC2"/>
    <w:rsid w:val="000F214F"/>
    <w:rsid w:val="000F2439"/>
    <w:rsid w:val="000F2645"/>
    <w:rsid w:val="000F321D"/>
    <w:rsid w:val="000F5238"/>
    <w:rsid w:val="000F5845"/>
    <w:rsid w:val="000F585A"/>
    <w:rsid w:val="001009D5"/>
    <w:rsid w:val="00102B0F"/>
    <w:rsid w:val="00102BD6"/>
    <w:rsid w:val="00102C09"/>
    <w:rsid w:val="00106206"/>
    <w:rsid w:val="00107F1A"/>
    <w:rsid w:val="001101A2"/>
    <w:rsid w:val="00112150"/>
    <w:rsid w:val="001233F3"/>
    <w:rsid w:val="00123822"/>
    <w:rsid w:val="00124691"/>
    <w:rsid w:val="001263CF"/>
    <w:rsid w:val="00127010"/>
    <w:rsid w:val="0013311E"/>
    <w:rsid w:val="001340BE"/>
    <w:rsid w:val="00134324"/>
    <w:rsid w:val="00135ED9"/>
    <w:rsid w:val="00137772"/>
    <w:rsid w:val="001406E4"/>
    <w:rsid w:val="001408A5"/>
    <w:rsid w:val="001417C1"/>
    <w:rsid w:val="00144FE6"/>
    <w:rsid w:val="00147D66"/>
    <w:rsid w:val="00150CF6"/>
    <w:rsid w:val="00150D14"/>
    <w:rsid w:val="001529CB"/>
    <w:rsid w:val="00152BE1"/>
    <w:rsid w:val="001538C8"/>
    <w:rsid w:val="00153F09"/>
    <w:rsid w:val="001550E5"/>
    <w:rsid w:val="00155BEB"/>
    <w:rsid w:val="00161D96"/>
    <w:rsid w:val="00163473"/>
    <w:rsid w:val="00163826"/>
    <w:rsid w:val="00165559"/>
    <w:rsid w:val="0016582A"/>
    <w:rsid w:val="001709F8"/>
    <w:rsid w:val="001763D2"/>
    <w:rsid w:val="0017647D"/>
    <w:rsid w:val="001768CA"/>
    <w:rsid w:val="00176EDC"/>
    <w:rsid w:val="00177CAB"/>
    <w:rsid w:val="00180047"/>
    <w:rsid w:val="001823E5"/>
    <w:rsid w:val="00182681"/>
    <w:rsid w:val="0018365F"/>
    <w:rsid w:val="00186E8F"/>
    <w:rsid w:val="00186F75"/>
    <w:rsid w:val="00187C83"/>
    <w:rsid w:val="00191EF3"/>
    <w:rsid w:val="00193B0A"/>
    <w:rsid w:val="001A231E"/>
    <w:rsid w:val="001A797A"/>
    <w:rsid w:val="001B387F"/>
    <w:rsid w:val="001B57A6"/>
    <w:rsid w:val="001B5DED"/>
    <w:rsid w:val="001B68E5"/>
    <w:rsid w:val="001C32AE"/>
    <w:rsid w:val="001C4689"/>
    <w:rsid w:val="001C652F"/>
    <w:rsid w:val="001C6782"/>
    <w:rsid w:val="001C7153"/>
    <w:rsid w:val="001C7DB4"/>
    <w:rsid w:val="001D0731"/>
    <w:rsid w:val="001D1C76"/>
    <w:rsid w:val="001D4605"/>
    <w:rsid w:val="001D59D2"/>
    <w:rsid w:val="001E779C"/>
    <w:rsid w:val="001F051B"/>
    <w:rsid w:val="001F1472"/>
    <w:rsid w:val="001F45FD"/>
    <w:rsid w:val="001F56D0"/>
    <w:rsid w:val="001F673E"/>
    <w:rsid w:val="001F71F9"/>
    <w:rsid w:val="00201279"/>
    <w:rsid w:val="00202632"/>
    <w:rsid w:val="00204441"/>
    <w:rsid w:val="00206474"/>
    <w:rsid w:val="00213002"/>
    <w:rsid w:val="00215028"/>
    <w:rsid w:val="00217E7D"/>
    <w:rsid w:val="00220EED"/>
    <w:rsid w:val="00221091"/>
    <w:rsid w:val="00222285"/>
    <w:rsid w:val="00224A9F"/>
    <w:rsid w:val="002260CC"/>
    <w:rsid w:val="00227C4B"/>
    <w:rsid w:val="00231606"/>
    <w:rsid w:val="002316F5"/>
    <w:rsid w:val="00231D22"/>
    <w:rsid w:val="002324AB"/>
    <w:rsid w:val="00234A12"/>
    <w:rsid w:val="00244C19"/>
    <w:rsid w:val="0024515F"/>
    <w:rsid w:val="002454FB"/>
    <w:rsid w:val="002455BE"/>
    <w:rsid w:val="00247F45"/>
    <w:rsid w:val="0025005E"/>
    <w:rsid w:val="0025012D"/>
    <w:rsid w:val="00250D3C"/>
    <w:rsid w:val="00251506"/>
    <w:rsid w:val="0025217C"/>
    <w:rsid w:val="002537C1"/>
    <w:rsid w:val="00253EBC"/>
    <w:rsid w:val="002578B9"/>
    <w:rsid w:val="002609B0"/>
    <w:rsid w:val="00260DE6"/>
    <w:rsid w:val="00260F6E"/>
    <w:rsid w:val="00261DF7"/>
    <w:rsid w:val="00261FAF"/>
    <w:rsid w:val="00261FCA"/>
    <w:rsid w:val="00265A9B"/>
    <w:rsid w:val="00266791"/>
    <w:rsid w:val="00266CFA"/>
    <w:rsid w:val="00270CCE"/>
    <w:rsid w:val="00271085"/>
    <w:rsid w:val="00274A5F"/>
    <w:rsid w:val="00277461"/>
    <w:rsid w:val="00277BCF"/>
    <w:rsid w:val="00281F00"/>
    <w:rsid w:val="002825EF"/>
    <w:rsid w:val="00284702"/>
    <w:rsid w:val="002857F6"/>
    <w:rsid w:val="00286670"/>
    <w:rsid w:val="00290A59"/>
    <w:rsid w:val="002931FB"/>
    <w:rsid w:val="00293902"/>
    <w:rsid w:val="00294A20"/>
    <w:rsid w:val="002951A2"/>
    <w:rsid w:val="00296B3F"/>
    <w:rsid w:val="002A0801"/>
    <w:rsid w:val="002A09A1"/>
    <w:rsid w:val="002A152F"/>
    <w:rsid w:val="002A1D62"/>
    <w:rsid w:val="002A29E7"/>
    <w:rsid w:val="002A2F30"/>
    <w:rsid w:val="002A4E8C"/>
    <w:rsid w:val="002A5340"/>
    <w:rsid w:val="002A7020"/>
    <w:rsid w:val="002B0AAC"/>
    <w:rsid w:val="002B3244"/>
    <w:rsid w:val="002B3326"/>
    <w:rsid w:val="002B4194"/>
    <w:rsid w:val="002B534E"/>
    <w:rsid w:val="002B607D"/>
    <w:rsid w:val="002B786D"/>
    <w:rsid w:val="002C006C"/>
    <w:rsid w:val="002C0F46"/>
    <w:rsid w:val="002C1EC3"/>
    <w:rsid w:val="002C2D62"/>
    <w:rsid w:val="002C4743"/>
    <w:rsid w:val="002D00BA"/>
    <w:rsid w:val="002D03F3"/>
    <w:rsid w:val="002D0F14"/>
    <w:rsid w:val="002D210E"/>
    <w:rsid w:val="002D22E3"/>
    <w:rsid w:val="002D4ECE"/>
    <w:rsid w:val="002D6519"/>
    <w:rsid w:val="002E3760"/>
    <w:rsid w:val="002E396E"/>
    <w:rsid w:val="002E3A71"/>
    <w:rsid w:val="002E52ED"/>
    <w:rsid w:val="002E5EF0"/>
    <w:rsid w:val="002F0FC5"/>
    <w:rsid w:val="002F2BC8"/>
    <w:rsid w:val="002F449B"/>
    <w:rsid w:val="002F69AC"/>
    <w:rsid w:val="0030140F"/>
    <w:rsid w:val="00301ADB"/>
    <w:rsid w:val="0030569A"/>
    <w:rsid w:val="00306B98"/>
    <w:rsid w:val="00306CE2"/>
    <w:rsid w:val="0030727C"/>
    <w:rsid w:val="00310348"/>
    <w:rsid w:val="003109DF"/>
    <w:rsid w:val="00310E7A"/>
    <w:rsid w:val="00312180"/>
    <w:rsid w:val="00313C34"/>
    <w:rsid w:val="00313D3F"/>
    <w:rsid w:val="00314A6E"/>
    <w:rsid w:val="003155A7"/>
    <w:rsid w:val="00316A89"/>
    <w:rsid w:val="0031744A"/>
    <w:rsid w:val="003262D8"/>
    <w:rsid w:val="00327A24"/>
    <w:rsid w:val="0033118A"/>
    <w:rsid w:val="003319F3"/>
    <w:rsid w:val="00331A0C"/>
    <w:rsid w:val="00331E0B"/>
    <w:rsid w:val="0033373D"/>
    <w:rsid w:val="00333C1E"/>
    <w:rsid w:val="00340D93"/>
    <w:rsid w:val="00342705"/>
    <w:rsid w:val="003431ED"/>
    <w:rsid w:val="00344064"/>
    <w:rsid w:val="003455ED"/>
    <w:rsid w:val="00350504"/>
    <w:rsid w:val="00352A73"/>
    <w:rsid w:val="003542A7"/>
    <w:rsid w:val="003556AB"/>
    <w:rsid w:val="0035676A"/>
    <w:rsid w:val="00357091"/>
    <w:rsid w:val="003572EA"/>
    <w:rsid w:val="0036185F"/>
    <w:rsid w:val="00363302"/>
    <w:rsid w:val="003644E9"/>
    <w:rsid w:val="0036522F"/>
    <w:rsid w:val="003657DD"/>
    <w:rsid w:val="00365A16"/>
    <w:rsid w:val="00366237"/>
    <w:rsid w:val="00367188"/>
    <w:rsid w:val="00373834"/>
    <w:rsid w:val="00374223"/>
    <w:rsid w:val="00375CA4"/>
    <w:rsid w:val="00377411"/>
    <w:rsid w:val="00377D7D"/>
    <w:rsid w:val="00380A54"/>
    <w:rsid w:val="00381B07"/>
    <w:rsid w:val="00382F4D"/>
    <w:rsid w:val="003840E4"/>
    <w:rsid w:val="00384CA6"/>
    <w:rsid w:val="003851C5"/>
    <w:rsid w:val="0039002C"/>
    <w:rsid w:val="003913A2"/>
    <w:rsid w:val="00392DA2"/>
    <w:rsid w:val="00393B15"/>
    <w:rsid w:val="003957D4"/>
    <w:rsid w:val="00396F7F"/>
    <w:rsid w:val="00397F99"/>
    <w:rsid w:val="003A00F7"/>
    <w:rsid w:val="003A094B"/>
    <w:rsid w:val="003A1A82"/>
    <w:rsid w:val="003A1E2F"/>
    <w:rsid w:val="003A3778"/>
    <w:rsid w:val="003A7EB1"/>
    <w:rsid w:val="003B023F"/>
    <w:rsid w:val="003B24D2"/>
    <w:rsid w:val="003B53A2"/>
    <w:rsid w:val="003B6404"/>
    <w:rsid w:val="003C0AAE"/>
    <w:rsid w:val="003C24DB"/>
    <w:rsid w:val="003C3359"/>
    <w:rsid w:val="003C41F3"/>
    <w:rsid w:val="003C51FA"/>
    <w:rsid w:val="003C5291"/>
    <w:rsid w:val="003C55A7"/>
    <w:rsid w:val="003C6FFE"/>
    <w:rsid w:val="003C7744"/>
    <w:rsid w:val="003D0A08"/>
    <w:rsid w:val="003D0C84"/>
    <w:rsid w:val="003D0E64"/>
    <w:rsid w:val="003D1D40"/>
    <w:rsid w:val="003D37FA"/>
    <w:rsid w:val="003D5B88"/>
    <w:rsid w:val="003D7BA3"/>
    <w:rsid w:val="003E0109"/>
    <w:rsid w:val="003E18CB"/>
    <w:rsid w:val="003E5FA9"/>
    <w:rsid w:val="003E6724"/>
    <w:rsid w:val="003F189E"/>
    <w:rsid w:val="003F5AA2"/>
    <w:rsid w:val="003F6252"/>
    <w:rsid w:val="003F6418"/>
    <w:rsid w:val="004002CD"/>
    <w:rsid w:val="0040213C"/>
    <w:rsid w:val="00402EDE"/>
    <w:rsid w:val="00405E20"/>
    <w:rsid w:val="004060E5"/>
    <w:rsid w:val="00410461"/>
    <w:rsid w:val="0041114E"/>
    <w:rsid w:val="0041184E"/>
    <w:rsid w:val="0041556B"/>
    <w:rsid w:val="0041795A"/>
    <w:rsid w:val="00421B77"/>
    <w:rsid w:val="0042488D"/>
    <w:rsid w:val="00425897"/>
    <w:rsid w:val="00427093"/>
    <w:rsid w:val="004270DB"/>
    <w:rsid w:val="004324D4"/>
    <w:rsid w:val="00432671"/>
    <w:rsid w:val="0043422B"/>
    <w:rsid w:val="00436DF5"/>
    <w:rsid w:val="004414CE"/>
    <w:rsid w:val="0044312D"/>
    <w:rsid w:val="00443421"/>
    <w:rsid w:val="00447DC2"/>
    <w:rsid w:val="00451921"/>
    <w:rsid w:val="00454456"/>
    <w:rsid w:val="00455FC5"/>
    <w:rsid w:val="00457ECD"/>
    <w:rsid w:val="00462E7B"/>
    <w:rsid w:val="0046312E"/>
    <w:rsid w:val="004631F1"/>
    <w:rsid w:val="00463E4A"/>
    <w:rsid w:val="0046492D"/>
    <w:rsid w:val="004732CE"/>
    <w:rsid w:val="00473675"/>
    <w:rsid w:val="00473E0F"/>
    <w:rsid w:val="0047512D"/>
    <w:rsid w:val="0047667C"/>
    <w:rsid w:val="00477938"/>
    <w:rsid w:val="00483215"/>
    <w:rsid w:val="0048609C"/>
    <w:rsid w:val="00486740"/>
    <w:rsid w:val="0049400C"/>
    <w:rsid w:val="00495BE8"/>
    <w:rsid w:val="00495DBF"/>
    <w:rsid w:val="004A1483"/>
    <w:rsid w:val="004A5446"/>
    <w:rsid w:val="004A5F73"/>
    <w:rsid w:val="004A61DC"/>
    <w:rsid w:val="004B22B2"/>
    <w:rsid w:val="004B2F16"/>
    <w:rsid w:val="004C1E08"/>
    <w:rsid w:val="004C351F"/>
    <w:rsid w:val="004C3A7F"/>
    <w:rsid w:val="004C4DF1"/>
    <w:rsid w:val="004C54A7"/>
    <w:rsid w:val="004C5F13"/>
    <w:rsid w:val="004C62BE"/>
    <w:rsid w:val="004C7192"/>
    <w:rsid w:val="004C7409"/>
    <w:rsid w:val="004C7E51"/>
    <w:rsid w:val="004D34EB"/>
    <w:rsid w:val="004D399D"/>
    <w:rsid w:val="004D475A"/>
    <w:rsid w:val="004D591A"/>
    <w:rsid w:val="004D6B90"/>
    <w:rsid w:val="004E42FD"/>
    <w:rsid w:val="004E50ED"/>
    <w:rsid w:val="004E6986"/>
    <w:rsid w:val="004F06DC"/>
    <w:rsid w:val="004F1298"/>
    <w:rsid w:val="004F36AB"/>
    <w:rsid w:val="004F5B16"/>
    <w:rsid w:val="004F6BDD"/>
    <w:rsid w:val="004F6DD5"/>
    <w:rsid w:val="00502304"/>
    <w:rsid w:val="00503362"/>
    <w:rsid w:val="005047B0"/>
    <w:rsid w:val="00504EB6"/>
    <w:rsid w:val="005051A8"/>
    <w:rsid w:val="00512571"/>
    <w:rsid w:val="00514290"/>
    <w:rsid w:val="00515038"/>
    <w:rsid w:val="005158C4"/>
    <w:rsid w:val="00515F8A"/>
    <w:rsid w:val="00516926"/>
    <w:rsid w:val="005200E6"/>
    <w:rsid w:val="0052095F"/>
    <w:rsid w:val="00521D21"/>
    <w:rsid w:val="0052228B"/>
    <w:rsid w:val="005227AF"/>
    <w:rsid w:val="00523034"/>
    <w:rsid w:val="00532CB4"/>
    <w:rsid w:val="00533CCD"/>
    <w:rsid w:val="005356FF"/>
    <w:rsid w:val="00535A7F"/>
    <w:rsid w:val="00535F17"/>
    <w:rsid w:val="00536F9C"/>
    <w:rsid w:val="00543510"/>
    <w:rsid w:val="00544608"/>
    <w:rsid w:val="00544639"/>
    <w:rsid w:val="00544F5D"/>
    <w:rsid w:val="0054772A"/>
    <w:rsid w:val="0055060F"/>
    <w:rsid w:val="00556976"/>
    <w:rsid w:val="00556ACC"/>
    <w:rsid w:val="00557169"/>
    <w:rsid w:val="005577DA"/>
    <w:rsid w:val="00557B72"/>
    <w:rsid w:val="00557E40"/>
    <w:rsid w:val="00560965"/>
    <w:rsid w:val="00560B6D"/>
    <w:rsid w:val="005624FE"/>
    <w:rsid w:val="00562ADA"/>
    <w:rsid w:val="005661A3"/>
    <w:rsid w:val="00567BBC"/>
    <w:rsid w:val="00575F37"/>
    <w:rsid w:val="00576A5A"/>
    <w:rsid w:val="00576CE2"/>
    <w:rsid w:val="0058275C"/>
    <w:rsid w:val="00582C3D"/>
    <w:rsid w:val="005836EC"/>
    <w:rsid w:val="005847F7"/>
    <w:rsid w:val="0058520A"/>
    <w:rsid w:val="00585891"/>
    <w:rsid w:val="00586957"/>
    <w:rsid w:val="00590B10"/>
    <w:rsid w:val="005910B6"/>
    <w:rsid w:val="00591308"/>
    <w:rsid w:val="005921B8"/>
    <w:rsid w:val="00593A29"/>
    <w:rsid w:val="00594DDE"/>
    <w:rsid w:val="005A4026"/>
    <w:rsid w:val="005A452E"/>
    <w:rsid w:val="005A4A82"/>
    <w:rsid w:val="005A547A"/>
    <w:rsid w:val="005A5700"/>
    <w:rsid w:val="005B174B"/>
    <w:rsid w:val="005B2B48"/>
    <w:rsid w:val="005B3A77"/>
    <w:rsid w:val="005B3F8D"/>
    <w:rsid w:val="005B43CB"/>
    <w:rsid w:val="005B4DC9"/>
    <w:rsid w:val="005B6572"/>
    <w:rsid w:val="005C0615"/>
    <w:rsid w:val="005C1163"/>
    <w:rsid w:val="005C3369"/>
    <w:rsid w:val="005C44E3"/>
    <w:rsid w:val="005C4F3C"/>
    <w:rsid w:val="005D125B"/>
    <w:rsid w:val="005D1725"/>
    <w:rsid w:val="005D2009"/>
    <w:rsid w:val="005D367D"/>
    <w:rsid w:val="005D4A17"/>
    <w:rsid w:val="005D6088"/>
    <w:rsid w:val="005E44D1"/>
    <w:rsid w:val="005E481F"/>
    <w:rsid w:val="005E4E7B"/>
    <w:rsid w:val="005E6EC7"/>
    <w:rsid w:val="005E784E"/>
    <w:rsid w:val="005F12EE"/>
    <w:rsid w:val="005F390D"/>
    <w:rsid w:val="005F521D"/>
    <w:rsid w:val="005F573E"/>
    <w:rsid w:val="005F653F"/>
    <w:rsid w:val="005F65EF"/>
    <w:rsid w:val="005F7352"/>
    <w:rsid w:val="006001E0"/>
    <w:rsid w:val="00602F06"/>
    <w:rsid w:val="00610E4C"/>
    <w:rsid w:val="00612D85"/>
    <w:rsid w:val="00612F19"/>
    <w:rsid w:val="00614F9F"/>
    <w:rsid w:val="006203F1"/>
    <w:rsid w:val="00620414"/>
    <w:rsid w:val="00621068"/>
    <w:rsid w:val="00622215"/>
    <w:rsid w:val="006222DD"/>
    <w:rsid w:val="00626084"/>
    <w:rsid w:val="00626BD2"/>
    <w:rsid w:val="006312B7"/>
    <w:rsid w:val="006327A5"/>
    <w:rsid w:val="00636773"/>
    <w:rsid w:val="00637042"/>
    <w:rsid w:val="006417ED"/>
    <w:rsid w:val="00645EBA"/>
    <w:rsid w:val="00647D02"/>
    <w:rsid w:val="006519ED"/>
    <w:rsid w:val="00656456"/>
    <w:rsid w:val="00657379"/>
    <w:rsid w:val="006603BB"/>
    <w:rsid w:val="00660E06"/>
    <w:rsid w:val="0066275B"/>
    <w:rsid w:val="00662DF7"/>
    <w:rsid w:val="006645BC"/>
    <w:rsid w:val="0067094D"/>
    <w:rsid w:val="00670B4C"/>
    <w:rsid w:val="00670DB8"/>
    <w:rsid w:val="00673DAE"/>
    <w:rsid w:val="00675350"/>
    <w:rsid w:val="006759A6"/>
    <w:rsid w:val="00675E7C"/>
    <w:rsid w:val="006814D6"/>
    <w:rsid w:val="00681EDC"/>
    <w:rsid w:val="0068244D"/>
    <w:rsid w:val="00683C5A"/>
    <w:rsid w:val="006848E2"/>
    <w:rsid w:val="00684957"/>
    <w:rsid w:val="00686D81"/>
    <w:rsid w:val="00690645"/>
    <w:rsid w:val="0069134D"/>
    <w:rsid w:val="0069142A"/>
    <w:rsid w:val="00691BEC"/>
    <w:rsid w:val="0069213B"/>
    <w:rsid w:val="006A031A"/>
    <w:rsid w:val="006A05E5"/>
    <w:rsid w:val="006A2122"/>
    <w:rsid w:val="006A29E6"/>
    <w:rsid w:val="006A598D"/>
    <w:rsid w:val="006A7A1B"/>
    <w:rsid w:val="006B043A"/>
    <w:rsid w:val="006B04FA"/>
    <w:rsid w:val="006B13E1"/>
    <w:rsid w:val="006B2109"/>
    <w:rsid w:val="006B261A"/>
    <w:rsid w:val="006B3FB7"/>
    <w:rsid w:val="006C2043"/>
    <w:rsid w:val="006C2579"/>
    <w:rsid w:val="006C3370"/>
    <w:rsid w:val="006D3B2A"/>
    <w:rsid w:val="006E1483"/>
    <w:rsid w:val="006E1ED1"/>
    <w:rsid w:val="006E20F9"/>
    <w:rsid w:val="006E29A9"/>
    <w:rsid w:val="006E515D"/>
    <w:rsid w:val="006E614D"/>
    <w:rsid w:val="006F3663"/>
    <w:rsid w:val="006F3C26"/>
    <w:rsid w:val="006F63BE"/>
    <w:rsid w:val="0070114B"/>
    <w:rsid w:val="0070390B"/>
    <w:rsid w:val="00704A78"/>
    <w:rsid w:val="00707C79"/>
    <w:rsid w:val="00711198"/>
    <w:rsid w:val="007149CF"/>
    <w:rsid w:val="00714B37"/>
    <w:rsid w:val="0071672B"/>
    <w:rsid w:val="007228E3"/>
    <w:rsid w:val="00725817"/>
    <w:rsid w:val="00730D3E"/>
    <w:rsid w:val="007314B3"/>
    <w:rsid w:val="007320F4"/>
    <w:rsid w:val="00732127"/>
    <w:rsid w:val="007332F8"/>
    <w:rsid w:val="007365B6"/>
    <w:rsid w:val="00737FB2"/>
    <w:rsid w:val="00740B20"/>
    <w:rsid w:val="00743E4E"/>
    <w:rsid w:val="00760680"/>
    <w:rsid w:val="00761F84"/>
    <w:rsid w:val="0076274A"/>
    <w:rsid w:val="007627FD"/>
    <w:rsid w:val="00766C02"/>
    <w:rsid w:val="00767A6E"/>
    <w:rsid w:val="00771D5A"/>
    <w:rsid w:val="007728A0"/>
    <w:rsid w:val="0077398C"/>
    <w:rsid w:val="00773A8E"/>
    <w:rsid w:val="007746E0"/>
    <w:rsid w:val="007750AD"/>
    <w:rsid w:val="0077536E"/>
    <w:rsid w:val="00775E01"/>
    <w:rsid w:val="00775EC8"/>
    <w:rsid w:val="00776FFE"/>
    <w:rsid w:val="0078020B"/>
    <w:rsid w:val="00782C1C"/>
    <w:rsid w:val="00783795"/>
    <w:rsid w:val="007874A5"/>
    <w:rsid w:val="00787F4F"/>
    <w:rsid w:val="007923DF"/>
    <w:rsid w:val="00792F30"/>
    <w:rsid w:val="00793953"/>
    <w:rsid w:val="007953CD"/>
    <w:rsid w:val="007A07F0"/>
    <w:rsid w:val="007A147C"/>
    <w:rsid w:val="007A2126"/>
    <w:rsid w:val="007A34AE"/>
    <w:rsid w:val="007A37A0"/>
    <w:rsid w:val="007A3AF2"/>
    <w:rsid w:val="007A480A"/>
    <w:rsid w:val="007A5BB8"/>
    <w:rsid w:val="007A77A2"/>
    <w:rsid w:val="007B31CC"/>
    <w:rsid w:val="007B3C50"/>
    <w:rsid w:val="007B41B6"/>
    <w:rsid w:val="007B4244"/>
    <w:rsid w:val="007B7252"/>
    <w:rsid w:val="007B7489"/>
    <w:rsid w:val="007C1A41"/>
    <w:rsid w:val="007C5ED2"/>
    <w:rsid w:val="007D2A03"/>
    <w:rsid w:val="007D45BD"/>
    <w:rsid w:val="007E6B61"/>
    <w:rsid w:val="007E783A"/>
    <w:rsid w:val="007F03DC"/>
    <w:rsid w:val="007F19D8"/>
    <w:rsid w:val="007F23C3"/>
    <w:rsid w:val="007F2766"/>
    <w:rsid w:val="007F27D9"/>
    <w:rsid w:val="007F525A"/>
    <w:rsid w:val="007F6B63"/>
    <w:rsid w:val="007F6B8C"/>
    <w:rsid w:val="0080276E"/>
    <w:rsid w:val="008029AA"/>
    <w:rsid w:val="00802F96"/>
    <w:rsid w:val="00803859"/>
    <w:rsid w:val="00803BCE"/>
    <w:rsid w:val="00804078"/>
    <w:rsid w:val="00805F5F"/>
    <w:rsid w:val="00806353"/>
    <w:rsid w:val="00810F39"/>
    <w:rsid w:val="00811ED6"/>
    <w:rsid w:val="00812757"/>
    <w:rsid w:val="0081382C"/>
    <w:rsid w:val="0081730F"/>
    <w:rsid w:val="00820232"/>
    <w:rsid w:val="00821DA2"/>
    <w:rsid w:val="00823381"/>
    <w:rsid w:val="00824A76"/>
    <w:rsid w:val="008252FF"/>
    <w:rsid w:val="008265D8"/>
    <w:rsid w:val="00827D9B"/>
    <w:rsid w:val="00830035"/>
    <w:rsid w:val="00830092"/>
    <w:rsid w:val="00831072"/>
    <w:rsid w:val="008317CC"/>
    <w:rsid w:val="00831AFD"/>
    <w:rsid w:val="008410AF"/>
    <w:rsid w:val="00842DB2"/>
    <w:rsid w:val="00842F60"/>
    <w:rsid w:val="00844BE7"/>
    <w:rsid w:val="00845730"/>
    <w:rsid w:val="00846B5C"/>
    <w:rsid w:val="00846DC0"/>
    <w:rsid w:val="008479FF"/>
    <w:rsid w:val="00850B37"/>
    <w:rsid w:val="008517A0"/>
    <w:rsid w:val="00852B5F"/>
    <w:rsid w:val="00862249"/>
    <w:rsid w:val="00866B76"/>
    <w:rsid w:val="008671A9"/>
    <w:rsid w:val="008730DA"/>
    <w:rsid w:val="008750E7"/>
    <w:rsid w:val="00877586"/>
    <w:rsid w:val="0088039D"/>
    <w:rsid w:val="00880E3E"/>
    <w:rsid w:val="008811D6"/>
    <w:rsid w:val="008844A7"/>
    <w:rsid w:val="0088524E"/>
    <w:rsid w:val="008854A5"/>
    <w:rsid w:val="00885F93"/>
    <w:rsid w:val="0088633C"/>
    <w:rsid w:val="008875FB"/>
    <w:rsid w:val="00887954"/>
    <w:rsid w:val="008910EF"/>
    <w:rsid w:val="0089221D"/>
    <w:rsid w:val="008925EA"/>
    <w:rsid w:val="008958AF"/>
    <w:rsid w:val="008A2DC7"/>
    <w:rsid w:val="008A32B9"/>
    <w:rsid w:val="008A334B"/>
    <w:rsid w:val="008A3F2C"/>
    <w:rsid w:val="008A7C33"/>
    <w:rsid w:val="008B0F46"/>
    <w:rsid w:val="008B16F0"/>
    <w:rsid w:val="008B2C2E"/>
    <w:rsid w:val="008B3648"/>
    <w:rsid w:val="008B5B50"/>
    <w:rsid w:val="008C1A7F"/>
    <w:rsid w:val="008C1A86"/>
    <w:rsid w:val="008C22DF"/>
    <w:rsid w:val="008C2EDD"/>
    <w:rsid w:val="008C3BDA"/>
    <w:rsid w:val="008C43B4"/>
    <w:rsid w:val="008C546C"/>
    <w:rsid w:val="008D0327"/>
    <w:rsid w:val="008D0442"/>
    <w:rsid w:val="008D1034"/>
    <w:rsid w:val="008D47C1"/>
    <w:rsid w:val="008D57DC"/>
    <w:rsid w:val="008D7997"/>
    <w:rsid w:val="008E00F3"/>
    <w:rsid w:val="008E1A9E"/>
    <w:rsid w:val="008E239A"/>
    <w:rsid w:val="008F0C05"/>
    <w:rsid w:val="008F2F3B"/>
    <w:rsid w:val="008F32D7"/>
    <w:rsid w:val="008F3657"/>
    <w:rsid w:val="008F4447"/>
    <w:rsid w:val="008F7E40"/>
    <w:rsid w:val="009001CD"/>
    <w:rsid w:val="00900B8A"/>
    <w:rsid w:val="0090208E"/>
    <w:rsid w:val="00902573"/>
    <w:rsid w:val="009102A3"/>
    <w:rsid w:val="009115CC"/>
    <w:rsid w:val="00912F2D"/>
    <w:rsid w:val="00914A4D"/>
    <w:rsid w:val="0091578B"/>
    <w:rsid w:val="00915960"/>
    <w:rsid w:val="00921C66"/>
    <w:rsid w:val="009247E9"/>
    <w:rsid w:val="00924D64"/>
    <w:rsid w:val="009305B0"/>
    <w:rsid w:val="00930957"/>
    <w:rsid w:val="0093271C"/>
    <w:rsid w:val="00933345"/>
    <w:rsid w:val="009407A4"/>
    <w:rsid w:val="00944E17"/>
    <w:rsid w:val="0094502F"/>
    <w:rsid w:val="00946BF8"/>
    <w:rsid w:val="00946ED1"/>
    <w:rsid w:val="00951F03"/>
    <w:rsid w:val="00952A24"/>
    <w:rsid w:val="009536E1"/>
    <w:rsid w:val="0095463B"/>
    <w:rsid w:val="009552B1"/>
    <w:rsid w:val="00957ABC"/>
    <w:rsid w:val="00961272"/>
    <w:rsid w:val="00961937"/>
    <w:rsid w:val="00961950"/>
    <w:rsid w:val="00962174"/>
    <w:rsid w:val="009641D0"/>
    <w:rsid w:val="00967694"/>
    <w:rsid w:val="009702A4"/>
    <w:rsid w:val="00971A35"/>
    <w:rsid w:val="0097244D"/>
    <w:rsid w:val="009729A1"/>
    <w:rsid w:val="00973780"/>
    <w:rsid w:val="0098039B"/>
    <w:rsid w:val="0098064A"/>
    <w:rsid w:val="00980828"/>
    <w:rsid w:val="00980845"/>
    <w:rsid w:val="00987EBB"/>
    <w:rsid w:val="009917C6"/>
    <w:rsid w:val="0099542C"/>
    <w:rsid w:val="00997B1F"/>
    <w:rsid w:val="009A1660"/>
    <w:rsid w:val="009A284C"/>
    <w:rsid w:val="009A5031"/>
    <w:rsid w:val="009A5E17"/>
    <w:rsid w:val="009B0F56"/>
    <w:rsid w:val="009B1EFD"/>
    <w:rsid w:val="009B4347"/>
    <w:rsid w:val="009B5224"/>
    <w:rsid w:val="009B62D3"/>
    <w:rsid w:val="009B685A"/>
    <w:rsid w:val="009B77C9"/>
    <w:rsid w:val="009C16C9"/>
    <w:rsid w:val="009C1CC9"/>
    <w:rsid w:val="009C38A7"/>
    <w:rsid w:val="009C658C"/>
    <w:rsid w:val="009C7C3F"/>
    <w:rsid w:val="009D17B8"/>
    <w:rsid w:val="009D23EA"/>
    <w:rsid w:val="009D4D09"/>
    <w:rsid w:val="009E3080"/>
    <w:rsid w:val="009E4A1F"/>
    <w:rsid w:val="009E4C29"/>
    <w:rsid w:val="009E63A4"/>
    <w:rsid w:val="009F1B47"/>
    <w:rsid w:val="009F226C"/>
    <w:rsid w:val="009F3C73"/>
    <w:rsid w:val="009F4F55"/>
    <w:rsid w:val="009F5C0E"/>
    <w:rsid w:val="00A001C1"/>
    <w:rsid w:val="00A016E0"/>
    <w:rsid w:val="00A039DF"/>
    <w:rsid w:val="00A04674"/>
    <w:rsid w:val="00A05F27"/>
    <w:rsid w:val="00A10492"/>
    <w:rsid w:val="00A11E59"/>
    <w:rsid w:val="00A13854"/>
    <w:rsid w:val="00A14562"/>
    <w:rsid w:val="00A15038"/>
    <w:rsid w:val="00A16B88"/>
    <w:rsid w:val="00A1717A"/>
    <w:rsid w:val="00A17B18"/>
    <w:rsid w:val="00A20F2D"/>
    <w:rsid w:val="00A22A57"/>
    <w:rsid w:val="00A24321"/>
    <w:rsid w:val="00A24FFB"/>
    <w:rsid w:val="00A27110"/>
    <w:rsid w:val="00A27330"/>
    <w:rsid w:val="00A30AB4"/>
    <w:rsid w:val="00A34F13"/>
    <w:rsid w:val="00A36CE5"/>
    <w:rsid w:val="00A40BE2"/>
    <w:rsid w:val="00A41833"/>
    <w:rsid w:val="00A41E03"/>
    <w:rsid w:val="00A43B59"/>
    <w:rsid w:val="00A469CD"/>
    <w:rsid w:val="00A47F87"/>
    <w:rsid w:val="00A514B4"/>
    <w:rsid w:val="00A547BB"/>
    <w:rsid w:val="00A54F40"/>
    <w:rsid w:val="00A55D02"/>
    <w:rsid w:val="00A6214D"/>
    <w:rsid w:val="00A625A1"/>
    <w:rsid w:val="00A63726"/>
    <w:rsid w:val="00A65179"/>
    <w:rsid w:val="00A67F13"/>
    <w:rsid w:val="00A67FDB"/>
    <w:rsid w:val="00A70E18"/>
    <w:rsid w:val="00A720F1"/>
    <w:rsid w:val="00A749F4"/>
    <w:rsid w:val="00A77455"/>
    <w:rsid w:val="00A77D15"/>
    <w:rsid w:val="00A80E5C"/>
    <w:rsid w:val="00A81784"/>
    <w:rsid w:val="00A83818"/>
    <w:rsid w:val="00A83EEF"/>
    <w:rsid w:val="00A87558"/>
    <w:rsid w:val="00A87A32"/>
    <w:rsid w:val="00A9257D"/>
    <w:rsid w:val="00A9268D"/>
    <w:rsid w:val="00A93FD3"/>
    <w:rsid w:val="00A94B2A"/>
    <w:rsid w:val="00A94D80"/>
    <w:rsid w:val="00A95AD1"/>
    <w:rsid w:val="00AA3A7E"/>
    <w:rsid w:val="00AA4888"/>
    <w:rsid w:val="00AA5F59"/>
    <w:rsid w:val="00AA68DA"/>
    <w:rsid w:val="00AA6F8A"/>
    <w:rsid w:val="00AB0149"/>
    <w:rsid w:val="00AB034D"/>
    <w:rsid w:val="00AB4AEE"/>
    <w:rsid w:val="00AB5CEB"/>
    <w:rsid w:val="00AB6077"/>
    <w:rsid w:val="00AB793E"/>
    <w:rsid w:val="00AB79E2"/>
    <w:rsid w:val="00AC0232"/>
    <w:rsid w:val="00AC093E"/>
    <w:rsid w:val="00AC2715"/>
    <w:rsid w:val="00AC466E"/>
    <w:rsid w:val="00AC51A5"/>
    <w:rsid w:val="00AD1792"/>
    <w:rsid w:val="00AD2DD9"/>
    <w:rsid w:val="00AD442C"/>
    <w:rsid w:val="00AD6860"/>
    <w:rsid w:val="00AD738D"/>
    <w:rsid w:val="00AE1AAB"/>
    <w:rsid w:val="00AE23E0"/>
    <w:rsid w:val="00AF0E91"/>
    <w:rsid w:val="00AF2F16"/>
    <w:rsid w:val="00AF4DF2"/>
    <w:rsid w:val="00AF60D8"/>
    <w:rsid w:val="00B00D66"/>
    <w:rsid w:val="00B0228C"/>
    <w:rsid w:val="00B02D66"/>
    <w:rsid w:val="00B047EC"/>
    <w:rsid w:val="00B06679"/>
    <w:rsid w:val="00B06BD3"/>
    <w:rsid w:val="00B10028"/>
    <w:rsid w:val="00B108D7"/>
    <w:rsid w:val="00B10B45"/>
    <w:rsid w:val="00B11C05"/>
    <w:rsid w:val="00B14258"/>
    <w:rsid w:val="00B1598D"/>
    <w:rsid w:val="00B1695C"/>
    <w:rsid w:val="00B17C95"/>
    <w:rsid w:val="00B214B0"/>
    <w:rsid w:val="00B223A9"/>
    <w:rsid w:val="00B22679"/>
    <w:rsid w:val="00B256D2"/>
    <w:rsid w:val="00B307CF"/>
    <w:rsid w:val="00B348DD"/>
    <w:rsid w:val="00B409E4"/>
    <w:rsid w:val="00B428F6"/>
    <w:rsid w:val="00B43647"/>
    <w:rsid w:val="00B43DD6"/>
    <w:rsid w:val="00B440C7"/>
    <w:rsid w:val="00B44D71"/>
    <w:rsid w:val="00B45D11"/>
    <w:rsid w:val="00B46D45"/>
    <w:rsid w:val="00B46FAF"/>
    <w:rsid w:val="00B4726A"/>
    <w:rsid w:val="00B50837"/>
    <w:rsid w:val="00B52485"/>
    <w:rsid w:val="00B56B89"/>
    <w:rsid w:val="00B61CA8"/>
    <w:rsid w:val="00B639AC"/>
    <w:rsid w:val="00B649FA"/>
    <w:rsid w:val="00B658FD"/>
    <w:rsid w:val="00B66B6B"/>
    <w:rsid w:val="00B67513"/>
    <w:rsid w:val="00B7204F"/>
    <w:rsid w:val="00B743B9"/>
    <w:rsid w:val="00B750F0"/>
    <w:rsid w:val="00B7590F"/>
    <w:rsid w:val="00B75B3B"/>
    <w:rsid w:val="00B76F3A"/>
    <w:rsid w:val="00B77EAA"/>
    <w:rsid w:val="00B80F67"/>
    <w:rsid w:val="00B818CD"/>
    <w:rsid w:val="00B82A00"/>
    <w:rsid w:val="00B842C4"/>
    <w:rsid w:val="00B90A06"/>
    <w:rsid w:val="00B95230"/>
    <w:rsid w:val="00BB0065"/>
    <w:rsid w:val="00BB0D45"/>
    <w:rsid w:val="00BB11F6"/>
    <w:rsid w:val="00BB271B"/>
    <w:rsid w:val="00BB31D2"/>
    <w:rsid w:val="00BB47CA"/>
    <w:rsid w:val="00BB5E47"/>
    <w:rsid w:val="00BB7BC7"/>
    <w:rsid w:val="00BC068F"/>
    <w:rsid w:val="00BC15FA"/>
    <w:rsid w:val="00BC23A1"/>
    <w:rsid w:val="00BC3293"/>
    <w:rsid w:val="00BC3E53"/>
    <w:rsid w:val="00BC532E"/>
    <w:rsid w:val="00BC750E"/>
    <w:rsid w:val="00BC7CA9"/>
    <w:rsid w:val="00BD0305"/>
    <w:rsid w:val="00BE1209"/>
    <w:rsid w:val="00BE133C"/>
    <w:rsid w:val="00BE378D"/>
    <w:rsid w:val="00BE4DC2"/>
    <w:rsid w:val="00BE5C38"/>
    <w:rsid w:val="00BF061B"/>
    <w:rsid w:val="00BF25F1"/>
    <w:rsid w:val="00BF2BB5"/>
    <w:rsid w:val="00BF2F96"/>
    <w:rsid w:val="00BF4691"/>
    <w:rsid w:val="00BF5315"/>
    <w:rsid w:val="00BF541A"/>
    <w:rsid w:val="00BF67C7"/>
    <w:rsid w:val="00BF73D9"/>
    <w:rsid w:val="00C000D3"/>
    <w:rsid w:val="00C026D3"/>
    <w:rsid w:val="00C03064"/>
    <w:rsid w:val="00C0335A"/>
    <w:rsid w:val="00C04C61"/>
    <w:rsid w:val="00C10868"/>
    <w:rsid w:val="00C122A6"/>
    <w:rsid w:val="00C124D8"/>
    <w:rsid w:val="00C12F0D"/>
    <w:rsid w:val="00C1391C"/>
    <w:rsid w:val="00C14A10"/>
    <w:rsid w:val="00C21493"/>
    <w:rsid w:val="00C22CC9"/>
    <w:rsid w:val="00C230A6"/>
    <w:rsid w:val="00C235CE"/>
    <w:rsid w:val="00C244B7"/>
    <w:rsid w:val="00C26059"/>
    <w:rsid w:val="00C274FE"/>
    <w:rsid w:val="00C333CE"/>
    <w:rsid w:val="00C33D6C"/>
    <w:rsid w:val="00C34470"/>
    <w:rsid w:val="00C413AA"/>
    <w:rsid w:val="00C42B5F"/>
    <w:rsid w:val="00C4492D"/>
    <w:rsid w:val="00C47ECD"/>
    <w:rsid w:val="00C5249F"/>
    <w:rsid w:val="00C52703"/>
    <w:rsid w:val="00C52892"/>
    <w:rsid w:val="00C539B8"/>
    <w:rsid w:val="00C55391"/>
    <w:rsid w:val="00C5642D"/>
    <w:rsid w:val="00C619DF"/>
    <w:rsid w:val="00C61BF2"/>
    <w:rsid w:val="00C62A4B"/>
    <w:rsid w:val="00C647BF"/>
    <w:rsid w:val="00C6664F"/>
    <w:rsid w:val="00C67B13"/>
    <w:rsid w:val="00C67FA3"/>
    <w:rsid w:val="00C67FC2"/>
    <w:rsid w:val="00C72281"/>
    <w:rsid w:val="00C7260B"/>
    <w:rsid w:val="00C730D2"/>
    <w:rsid w:val="00C73739"/>
    <w:rsid w:val="00C73E1B"/>
    <w:rsid w:val="00C77BCD"/>
    <w:rsid w:val="00C84699"/>
    <w:rsid w:val="00C90CDA"/>
    <w:rsid w:val="00C924C4"/>
    <w:rsid w:val="00C92E2B"/>
    <w:rsid w:val="00C951F5"/>
    <w:rsid w:val="00C9691A"/>
    <w:rsid w:val="00C96F8D"/>
    <w:rsid w:val="00CA068E"/>
    <w:rsid w:val="00CA0E56"/>
    <w:rsid w:val="00CA10E4"/>
    <w:rsid w:val="00CA44CB"/>
    <w:rsid w:val="00CA5DE6"/>
    <w:rsid w:val="00CA7745"/>
    <w:rsid w:val="00CA779F"/>
    <w:rsid w:val="00CA7AEC"/>
    <w:rsid w:val="00CB21F0"/>
    <w:rsid w:val="00CB2B72"/>
    <w:rsid w:val="00CB4014"/>
    <w:rsid w:val="00CB43C7"/>
    <w:rsid w:val="00CB46FA"/>
    <w:rsid w:val="00CB479B"/>
    <w:rsid w:val="00CB480B"/>
    <w:rsid w:val="00CC1C1B"/>
    <w:rsid w:val="00CC440C"/>
    <w:rsid w:val="00CC7F95"/>
    <w:rsid w:val="00CD1090"/>
    <w:rsid w:val="00CD4081"/>
    <w:rsid w:val="00CD52C5"/>
    <w:rsid w:val="00CD63BB"/>
    <w:rsid w:val="00CD680E"/>
    <w:rsid w:val="00CD6FDB"/>
    <w:rsid w:val="00CE2CC2"/>
    <w:rsid w:val="00CE6868"/>
    <w:rsid w:val="00CF185E"/>
    <w:rsid w:val="00CF3316"/>
    <w:rsid w:val="00D01B3E"/>
    <w:rsid w:val="00D020DD"/>
    <w:rsid w:val="00D0395D"/>
    <w:rsid w:val="00D040A7"/>
    <w:rsid w:val="00D0462C"/>
    <w:rsid w:val="00D04B99"/>
    <w:rsid w:val="00D06415"/>
    <w:rsid w:val="00D06AF8"/>
    <w:rsid w:val="00D10EF1"/>
    <w:rsid w:val="00D11DD6"/>
    <w:rsid w:val="00D12E01"/>
    <w:rsid w:val="00D1537D"/>
    <w:rsid w:val="00D1622E"/>
    <w:rsid w:val="00D16EF0"/>
    <w:rsid w:val="00D17A61"/>
    <w:rsid w:val="00D17ADE"/>
    <w:rsid w:val="00D17BBB"/>
    <w:rsid w:val="00D208F8"/>
    <w:rsid w:val="00D211EC"/>
    <w:rsid w:val="00D23D78"/>
    <w:rsid w:val="00D25603"/>
    <w:rsid w:val="00D25784"/>
    <w:rsid w:val="00D25E4B"/>
    <w:rsid w:val="00D313C9"/>
    <w:rsid w:val="00D320A3"/>
    <w:rsid w:val="00D35AED"/>
    <w:rsid w:val="00D37655"/>
    <w:rsid w:val="00D458D6"/>
    <w:rsid w:val="00D50B55"/>
    <w:rsid w:val="00D541BD"/>
    <w:rsid w:val="00D55725"/>
    <w:rsid w:val="00D56E5B"/>
    <w:rsid w:val="00D62C87"/>
    <w:rsid w:val="00D64337"/>
    <w:rsid w:val="00D64E37"/>
    <w:rsid w:val="00D65600"/>
    <w:rsid w:val="00D6689C"/>
    <w:rsid w:val="00D66DB8"/>
    <w:rsid w:val="00D67E6F"/>
    <w:rsid w:val="00D70510"/>
    <w:rsid w:val="00D70FA4"/>
    <w:rsid w:val="00D73B10"/>
    <w:rsid w:val="00D73CF8"/>
    <w:rsid w:val="00D73E1B"/>
    <w:rsid w:val="00D76A76"/>
    <w:rsid w:val="00D85E92"/>
    <w:rsid w:val="00D9155A"/>
    <w:rsid w:val="00D9276E"/>
    <w:rsid w:val="00D93C18"/>
    <w:rsid w:val="00D9425D"/>
    <w:rsid w:val="00D95045"/>
    <w:rsid w:val="00D95338"/>
    <w:rsid w:val="00D95F4F"/>
    <w:rsid w:val="00D960E0"/>
    <w:rsid w:val="00D96630"/>
    <w:rsid w:val="00D96951"/>
    <w:rsid w:val="00DA148B"/>
    <w:rsid w:val="00DA2679"/>
    <w:rsid w:val="00DA3822"/>
    <w:rsid w:val="00DA38F7"/>
    <w:rsid w:val="00DA69F0"/>
    <w:rsid w:val="00DB2403"/>
    <w:rsid w:val="00DB4093"/>
    <w:rsid w:val="00DB48A2"/>
    <w:rsid w:val="00DB52F6"/>
    <w:rsid w:val="00DB60EF"/>
    <w:rsid w:val="00DB61BE"/>
    <w:rsid w:val="00DB6803"/>
    <w:rsid w:val="00DB6DF3"/>
    <w:rsid w:val="00DB6FA4"/>
    <w:rsid w:val="00DB7F15"/>
    <w:rsid w:val="00DC34BF"/>
    <w:rsid w:val="00DC3579"/>
    <w:rsid w:val="00DC6AB0"/>
    <w:rsid w:val="00DD1729"/>
    <w:rsid w:val="00DD2CCD"/>
    <w:rsid w:val="00DD5488"/>
    <w:rsid w:val="00DD6636"/>
    <w:rsid w:val="00DE19A4"/>
    <w:rsid w:val="00DE2660"/>
    <w:rsid w:val="00DE2A59"/>
    <w:rsid w:val="00DE2E51"/>
    <w:rsid w:val="00DE327C"/>
    <w:rsid w:val="00DE36E0"/>
    <w:rsid w:val="00DE5A2E"/>
    <w:rsid w:val="00DF5DB1"/>
    <w:rsid w:val="00E014FE"/>
    <w:rsid w:val="00E0258E"/>
    <w:rsid w:val="00E035FB"/>
    <w:rsid w:val="00E06719"/>
    <w:rsid w:val="00E108BF"/>
    <w:rsid w:val="00E10B89"/>
    <w:rsid w:val="00E12FC3"/>
    <w:rsid w:val="00E14E16"/>
    <w:rsid w:val="00E202FB"/>
    <w:rsid w:val="00E20FD4"/>
    <w:rsid w:val="00E22094"/>
    <w:rsid w:val="00E30121"/>
    <w:rsid w:val="00E305DB"/>
    <w:rsid w:val="00E310A0"/>
    <w:rsid w:val="00E3285C"/>
    <w:rsid w:val="00E331BC"/>
    <w:rsid w:val="00E41A39"/>
    <w:rsid w:val="00E42542"/>
    <w:rsid w:val="00E438DA"/>
    <w:rsid w:val="00E46EBD"/>
    <w:rsid w:val="00E47BFF"/>
    <w:rsid w:val="00E507BA"/>
    <w:rsid w:val="00E50C2C"/>
    <w:rsid w:val="00E50D7B"/>
    <w:rsid w:val="00E52D81"/>
    <w:rsid w:val="00E5301D"/>
    <w:rsid w:val="00E53A9D"/>
    <w:rsid w:val="00E5490E"/>
    <w:rsid w:val="00E57F69"/>
    <w:rsid w:val="00E600FB"/>
    <w:rsid w:val="00E640C8"/>
    <w:rsid w:val="00E6442F"/>
    <w:rsid w:val="00E7051A"/>
    <w:rsid w:val="00E71284"/>
    <w:rsid w:val="00E727B1"/>
    <w:rsid w:val="00E7518C"/>
    <w:rsid w:val="00E76E1D"/>
    <w:rsid w:val="00E822D1"/>
    <w:rsid w:val="00E824D7"/>
    <w:rsid w:val="00E8492F"/>
    <w:rsid w:val="00E85EE7"/>
    <w:rsid w:val="00E931D9"/>
    <w:rsid w:val="00E93308"/>
    <w:rsid w:val="00E937DF"/>
    <w:rsid w:val="00E954BD"/>
    <w:rsid w:val="00E95CB3"/>
    <w:rsid w:val="00EA3604"/>
    <w:rsid w:val="00EA4444"/>
    <w:rsid w:val="00EA4E6B"/>
    <w:rsid w:val="00EA688A"/>
    <w:rsid w:val="00EA7F82"/>
    <w:rsid w:val="00EB05B6"/>
    <w:rsid w:val="00EB4516"/>
    <w:rsid w:val="00EB45DB"/>
    <w:rsid w:val="00EC3B32"/>
    <w:rsid w:val="00EC3D33"/>
    <w:rsid w:val="00EC4730"/>
    <w:rsid w:val="00EC538E"/>
    <w:rsid w:val="00EC5FD2"/>
    <w:rsid w:val="00EC6A5B"/>
    <w:rsid w:val="00EC76C4"/>
    <w:rsid w:val="00EC7759"/>
    <w:rsid w:val="00EC78B9"/>
    <w:rsid w:val="00ED09AC"/>
    <w:rsid w:val="00ED2903"/>
    <w:rsid w:val="00ED5526"/>
    <w:rsid w:val="00ED566C"/>
    <w:rsid w:val="00ED68E2"/>
    <w:rsid w:val="00ED693F"/>
    <w:rsid w:val="00ED6A9D"/>
    <w:rsid w:val="00ED7FD5"/>
    <w:rsid w:val="00EE0883"/>
    <w:rsid w:val="00EE0DFC"/>
    <w:rsid w:val="00EE192C"/>
    <w:rsid w:val="00EE1A92"/>
    <w:rsid w:val="00EE2531"/>
    <w:rsid w:val="00EE2D5F"/>
    <w:rsid w:val="00EE5BCD"/>
    <w:rsid w:val="00EE5F58"/>
    <w:rsid w:val="00EE64B1"/>
    <w:rsid w:val="00EE7BC0"/>
    <w:rsid w:val="00EF1826"/>
    <w:rsid w:val="00EF27DE"/>
    <w:rsid w:val="00EF311A"/>
    <w:rsid w:val="00F0057C"/>
    <w:rsid w:val="00F04D3C"/>
    <w:rsid w:val="00F11C56"/>
    <w:rsid w:val="00F13000"/>
    <w:rsid w:val="00F1317D"/>
    <w:rsid w:val="00F14865"/>
    <w:rsid w:val="00F14C6D"/>
    <w:rsid w:val="00F17F35"/>
    <w:rsid w:val="00F20345"/>
    <w:rsid w:val="00F2169B"/>
    <w:rsid w:val="00F22201"/>
    <w:rsid w:val="00F242D5"/>
    <w:rsid w:val="00F251CE"/>
    <w:rsid w:val="00F253E2"/>
    <w:rsid w:val="00F25518"/>
    <w:rsid w:val="00F26A92"/>
    <w:rsid w:val="00F308A0"/>
    <w:rsid w:val="00F3130F"/>
    <w:rsid w:val="00F34878"/>
    <w:rsid w:val="00F3493C"/>
    <w:rsid w:val="00F363B9"/>
    <w:rsid w:val="00F37CED"/>
    <w:rsid w:val="00F401FA"/>
    <w:rsid w:val="00F40AC0"/>
    <w:rsid w:val="00F44F1D"/>
    <w:rsid w:val="00F46B89"/>
    <w:rsid w:val="00F50A3D"/>
    <w:rsid w:val="00F54323"/>
    <w:rsid w:val="00F5455E"/>
    <w:rsid w:val="00F54DB0"/>
    <w:rsid w:val="00F64191"/>
    <w:rsid w:val="00F65A9C"/>
    <w:rsid w:val="00F662FD"/>
    <w:rsid w:val="00F66CB7"/>
    <w:rsid w:val="00F66E35"/>
    <w:rsid w:val="00F7062B"/>
    <w:rsid w:val="00F7141E"/>
    <w:rsid w:val="00F72B2A"/>
    <w:rsid w:val="00F73369"/>
    <w:rsid w:val="00F7341C"/>
    <w:rsid w:val="00F745C4"/>
    <w:rsid w:val="00F76663"/>
    <w:rsid w:val="00F76B68"/>
    <w:rsid w:val="00F820C7"/>
    <w:rsid w:val="00F8211D"/>
    <w:rsid w:val="00F84564"/>
    <w:rsid w:val="00F85BAB"/>
    <w:rsid w:val="00F90274"/>
    <w:rsid w:val="00F9105C"/>
    <w:rsid w:val="00F94951"/>
    <w:rsid w:val="00F954FE"/>
    <w:rsid w:val="00F97D43"/>
    <w:rsid w:val="00FA41CC"/>
    <w:rsid w:val="00FA7740"/>
    <w:rsid w:val="00FA7763"/>
    <w:rsid w:val="00FB236E"/>
    <w:rsid w:val="00FB38BB"/>
    <w:rsid w:val="00FB45DD"/>
    <w:rsid w:val="00FB535B"/>
    <w:rsid w:val="00FB61C1"/>
    <w:rsid w:val="00FC3A61"/>
    <w:rsid w:val="00FC3B93"/>
    <w:rsid w:val="00FC53D8"/>
    <w:rsid w:val="00FC5CC1"/>
    <w:rsid w:val="00FC5D97"/>
    <w:rsid w:val="00FD0CCE"/>
    <w:rsid w:val="00FD7E2C"/>
    <w:rsid w:val="00FE0F4A"/>
    <w:rsid w:val="00FE21E8"/>
    <w:rsid w:val="00FE2611"/>
    <w:rsid w:val="00FE41E1"/>
    <w:rsid w:val="00FE4BA3"/>
    <w:rsid w:val="00FE7092"/>
    <w:rsid w:val="00FE7BDF"/>
    <w:rsid w:val="00FF216B"/>
    <w:rsid w:val="00FF3B35"/>
    <w:rsid w:val="00FF3C2B"/>
    <w:rsid w:val="00FF3E67"/>
    <w:rsid w:val="00FF3F25"/>
    <w:rsid w:val="00FF66DD"/>
    <w:rsid w:val="00F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454638BA-D78C-47CF-815E-FBC7DB84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342705"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  <w:lang w:val="es-CR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color w:val="FFFFFF"/>
    </w:rPr>
  </w:style>
  <w:style w:type="paragraph" w:styleId="Ttulo8">
    <w:name w:val="heading 8"/>
    <w:basedOn w:val="Normal"/>
    <w:next w:val="Normal"/>
    <w:qFormat/>
    <w:pPr>
      <w:keepNext/>
      <w:widowControl w:val="0"/>
      <w:snapToGrid w:val="0"/>
      <w:jc w:val="center"/>
      <w:outlineLvl w:val="7"/>
    </w:pPr>
    <w:rPr>
      <w:rFonts w:ascii="Tahoma" w:hAnsi="Tahoma"/>
      <w:b/>
      <w:sz w:val="18"/>
    </w:rPr>
  </w:style>
  <w:style w:type="paragraph" w:styleId="Ttulo9">
    <w:name w:val="heading 9"/>
    <w:basedOn w:val="Normal"/>
    <w:next w:val="Normal"/>
    <w:qFormat/>
    <w:rsid w:val="008958A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pPr>
      <w:ind w:firstLine="708"/>
      <w:jc w:val="both"/>
    </w:pPr>
    <w:rPr>
      <w:rFonts w:ascii="Arial" w:hAnsi="Arial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lang w:val="es-CR"/>
    </w:rPr>
  </w:style>
  <w:style w:type="paragraph" w:styleId="Textoindependiente">
    <w:name w:val="Body Text"/>
    <w:basedOn w:val="Normal"/>
    <w:pPr>
      <w:jc w:val="both"/>
    </w:pPr>
    <w:rPr>
      <w:rFonts w:ascii="Arial" w:hAnsi="Arial"/>
      <w:lang w:val="es-CR"/>
    </w:rPr>
  </w:style>
  <w:style w:type="table" w:styleId="Tablaconcuadrcula">
    <w:name w:val="Table Grid"/>
    <w:basedOn w:val="Tablanormal"/>
    <w:rsid w:val="00533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261FCA"/>
    <w:rPr>
      <w:rFonts w:ascii="Tahoma" w:hAnsi="Tahoma" w:cs="Tahoma"/>
      <w:sz w:val="16"/>
      <w:szCs w:val="16"/>
    </w:rPr>
  </w:style>
  <w:style w:type="paragraph" w:customStyle="1" w:styleId="Car">
    <w:name w:val="Car"/>
    <w:basedOn w:val="Normal"/>
    <w:autoRedefine/>
    <w:rsid w:val="004324D4"/>
    <w:pPr>
      <w:spacing w:after="160" w:line="240" w:lineRule="exact"/>
    </w:pPr>
    <w:rPr>
      <w:rFonts w:ascii="Arial" w:hAnsi="Arial"/>
      <w:b/>
      <w:caps/>
      <w:sz w:val="16"/>
      <w:lang w:val="en-US" w:eastAsia="en-US"/>
    </w:rPr>
  </w:style>
  <w:style w:type="table" w:styleId="Tablabsica1">
    <w:name w:val="Table Simple 1"/>
    <w:basedOn w:val="Tablanormal"/>
    <w:rsid w:val="006E515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6E515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uadrcula3">
    <w:name w:val="Table Grid 3"/>
    <w:basedOn w:val="Tablanormal"/>
    <w:rsid w:val="006E515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ar2">
    <w:name w:val="Car2"/>
    <w:basedOn w:val="Normal"/>
    <w:autoRedefine/>
    <w:rsid w:val="00025590"/>
    <w:pPr>
      <w:spacing w:after="160" w:line="240" w:lineRule="exact"/>
    </w:pPr>
    <w:rPr>
      <w:rFonts w:ascii="Arial" w:hAnsi="Arial"/>
      <w:b/>
      <w:caps/>
      <w:sz w:val="16"/>
      <w:lang w:val="en-US" w:eastAsia="en-US"/>
    </w:rPr>
  </w:style>
  <w:style w:type="paragraph" w:customStyle="1" w:styleId="Car1CarCarCar">
    <w:name w:val="Car1 Car Car Car"/>
    <w:basedOn w:val="Normal"/>
    <w:autoRedefine/>
    <w:rsid w:val="00B11C05"/>
    <w:pPr>
      <w:spacing w:after="160" w:line="240" w:lineRule="exact"/>
    </w:pPr>
    <w:rPr>
      <w:rFonts w:ascii="Arial" w:hAnsi="Arial"/>
      <w:b/>
      <w:caps/>
      <w:sz w:val="16"/>
      <w:lang w:val="en-US" w:eastAsia="en-US"/>
    </w:rPr>
  </w:style>
  <w:style w:type="character" w:styleId="Refdecomentario">
    <w:name w:val="annotation reference"/>
    <w:semiHidden/>
    <w:rsid w:val="00150CF6"/>
    <w:rPr>
      <w:sz w:val="16"/>
      <w:szCs w:val="16"/>
    </w:rPr>
  </w:style>
  <w:style w:type="paragraph" w:styleId="Textocomentario">
    <w:name w:val="annotation text"/>
    <w:basedOn w:val="Normal"/>
    <w:semiHidden/>
    <w:rsid w:val="00150CF6"/>
    <w:pPr>
      <w:jc w:val="both"/>
    </w:pPr>
  </w:style>
  <w:style w:type="table" w:styleId="Tablaelegante">
    <w:name w:val="Table Elegant"/>
    <w:basedOn w:val="Tablanormal"/>
    <w:rsid w:val="008958A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cta">
    <w:name w:val="acta"/>
    <w:basedOn w:val="Normal"/>
    <w:rsid w:val="00E3285C"/>
    <w:rPr>
      <w:rFonts w:ascii="Courier New" w:hAnsi="Courier New" w:cs="Courier New"/>
      <w:sz w:val="24"/>
      <w:szCs w:val="24"/>
      <w:lang w:val="es-ES"/>
    </w:rPr>
  </w:style>
  <w:style w:type="character" w:styleId="Textoennegrita">
    <w:name w:val="Strong"/>
    <w:qFormat/>
    <w:rsid w:val="006814D6"/>
    <w:rPr>
      <w:b/>
      <w:bCs/>
    </w:rPr>
  </w:style>
  <w:style w:type="paragraph" w:styleId="Prrafodelista">
    <w:name w:val="List Paragraph"/>
    <w:basedOn w:val="Normal"/>
    <w:uiPriority w:val="34"/>
    <w:qFormat/>
    <w:rsid w:val="00C67F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R"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4D6B90"/>
    <w:rPr>
      <w:rFonts w:ascii="Calibri" w:eastAsia="Calibri" w:hAnsi="Calibri"/>
      <w:sz w:val="22"/>
      <w:szCs w:val="21"/>
      <w:lang w:val="x-none" w:eastAsia="en-US"/>
    </w:rPr>
  </w:style>
  <w:style w:type="character" w:customStyle="1" w:styleId="TextosinformatoCar">
    <w:name w:val="Texto sin formato Car"/>
    <w:link w:val="Textosinformato"/>
    <w:uiPriority w:val="99"/>
    <w:rsid w:val="004D6B90"/>
    <w:rPr>
      <w:rFonts w:ascii="Calibri" w:eastAsia="Calibri" w:hAnsi="Calibri" w:cs="Consolas"/>
      <w:sz w:val="22"/>
      <w:szCs w:val="21"/>
      <w:lang w:eastAsia="en-US"/>
    </w:rPr>
  </w:style>
  <w:style w:type="paragraph" w:customStyle="1" w:styleId="Default">
    <w:name w:val="Default"/>
    <w:rsid w:val="0037741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Sinespaciado">
    <w:name w:val="No Spacing"/>
    <w:uiPriority w:val="1"/>
    <w:qFormat/>
    <w:rsid w:val="00D76A76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locked/>
    <w:rsid w:val="00544639"/>
    <w:rPr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49400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49400C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6E8ED9BF26F854485DCE52DCD3BB7C5" ma:contentTypeVersion="0" ma:contentTypeDescription="Crear nuevo documento." ma:contentTypeScope="" ma:versionID="9717a58d93bf1165a61a7a5e42084935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B1233-CABF-4448-BA43-86C69EB47C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9721AF-7EF3-498F-A439-87C41CD36E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A9961B-06A4-444D-8A07-33A58DE541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39D6B94-98B8-4273-A0E4-DA9A7DA9C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3389-2007</vt:lpstr>
    </vt:vector>
  </TitlesOfParts>
  <Company>Banco Popular / Unidad de Seguros</Company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3389-2007</dc:title>
  <dc:subject>Hecho Relevante</dc:subject>
  <dc:creator>Isabel Horna Sánchez</dc:creator>
  <cp:lastModifiedBy>Nadir Saballos</cp:lastModifiedBy>
  <cp:revision>2</cp:revision>
  <cp:lastPrinted>2016-07-06T21:43:00Z</cp:lastPrinted>
  <dcterms:created xsi:type="dcterms:W3CDTF">2016-07-07T02:14:00Z</dcterms:created>
  <dcterms:modified xsi:type="dcterms:W3CDTF">2016-07-07T02:14:00Z</dcterms:modified>
</cp:coreProperties>
</file>